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08EB7DD">
      <w:pPr>
        <w:pStyle w:val="172"/>
        <w:spacing w:line="360" w:lineRule="auto"/>
        <w:ind w:firstLine="240" w:firstLineChars="100"/>
        <w:rPr>
          <w:rFonts w:hAnsi="宋体"/>
          <w:color w:val="auto"/>
          <w:highlight w:val="none"/>
        </w:rPr>
      </w:pPr>
      <w:r>
        <w:rPr>
          <w:rFonts w:hAnsi="宋体"/>
          <w:color w:val="auto"/>
          <w:highlight w:val="none"/>
        </w:rPr>
        <w:fldChar w:fldCharType="begin"/>
      </w:r>
      <w:r>
        <w:rPr>
          <w:rFonts w:hAnsi="宋体"/>
          <w:color w:val="auto"/>
          <w:highlight w:val="none"/>
        </w:rPr>
        <w:instrText xml:space="preserve">ADDIN CNKISM.UserStyle</w:instrText>
      </w:r>
      <w:r>
        <w:rPr>
          <w:rFonts w:hAnsi="宋体"/>
          <w:color w:val="auto"/>
          <w:highlight w:val="none"/>
        </w:rPr>
        <w:fldChar w:fldCharType="end"/>
      </w:r>
      <w:r>
        <w:rPr>
          <w:rFonts w:hint="eastAsia" w:hAnsi="宋体"/>
          <w:color w:val="auto"/>
          <w:highlight w:val="none"/>
        </w:rPr>
        <w:t xml:space="preserve"> </w:t>
      </w:r>
      <w:r>
        <w:rPr>
          <w:rFonts w:hAnsi="宋体"/>
          <w:b/>
          <w:color w:val="auto"/>
          <w:sz w:val="32"/>
          <w:highlight w:val="none"/>
        </w:rPr>
        <w:tab/>
      </w:r>
      <w:r>
        <w:rPr>
          <w:rFonts w:hAnsi="宋体"/>
          <w:color w:val="auto"/>
          <w:highlight w:val="none"/>
        </w:rPr>
        <w:fldChar w:fldCharType="begin"/>
      </w:r>
      <w:r>
        <w:rPr>
          <w:rFonts w:hAnsi="宋体"/>
          <w:color w:val="auto"/>
          <w:highlight w:val="none"/>
        </w:rPr>
        <w:instrText xml:space="preserve">ADDIN CNKISM.UserStyle</w:instrText>
      </w:r>
      <w:r>
        <w:rPr>
          <w:rFonts w:hAnsi="宋体"/>
          <w:color w:val="auto"/>
          <w:highlight w:val="none"/>
        </w:rPr>
        <w:fldChar w:fldCharType="end"/>
      </w:r>
      <w:r>
        <w:rPr>
          <w:rFonts w:hAnsi="宋体" w:cs="Times New Roman"/>
          <w:color w:val="auto"/>
          <w:highlight w:val="none"/>
        </w:rPr>
        <w:drawing>
          <wp:inline distT="0" distB="0" distL="114300" distR="114300">
            <wp:extent cx="1289050" cy="1435100"/>
            <wp:effectExtent l="0" t="0" r="6350" b="12700"/>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9"/>
                    <a:srcRect l="31203" t="21249" r="34950" b="25909"/>
                    <a:stretch>
                      <a:fillRect/>
                    </a:stretch>
                  </pic:blipFill>
                  <pic:spPr>
                    <a:xfrm>
                      <a:off x="0" y="0"/>
                      <a:ext cx="1289050" cy="1435100"/>
                    </a:xfrm>
                    <a:prstGeom prst="rect">
                      <a:avLst/>
                    </a:prstGeom>
                    <a:noFill/>
                    <a:ln>
                      <a:noFill/>
                    </a:ln>
                  </pic:spPr>
                </pic:pic>
              </a:graphicData>
            </a:graphic>
          </wp:inline>
        </w:drawing>
      </w:r>
    </w:p>
    <w:p w14:paraId="41E80E90">
      <w:pPr>
        <w:spacing w:line="360" w:lineRule="auto"/>
        <w:jc w:val="center"/>
        <w:rPr>
          <w:rFonts w:hint="eastAsia" w:ascii="宋体" w:hAnsi="宋体" w:cs="宋体"/>
          <w:b/>
          <w:bCs/>
          <w:kern w:val="0"/>
          <w:sz w:val="52"/>
          <w:szCs w:val="52"/>
          <w:highlight w:val="none"/>
        </w:rPr>
      </w:pPr>
    </w:p>
    <w:p w14:paraId="4DA65040">
      <w:pPr>
        <w:spacing w:line="360" w:lineRule="auto"/>
        <w:jc w:val="center"/>
        <w:rPr>
          <w:rFonts w:hint="eastAsia" w:ascii="宋体" w:hAnsi="宋体" w:eastAsia="宋体" w:cs="宋体"/>
          <w:b/>
          <w:bCs/>
          <w:kern w:val="0"/>
          <w:sz w:val="44"/>
          <w:szCs w:val="44"/>
          <w:highlight w:val="none"/>
          <w:lang w:eastAsia="zh-CN"/>
        </w:rPr>
      </w:pPr>
      <w:r>
        <w:rPr>
          <w:rFonts w:hint="eastAsia" w:ascii="宋体" w:hAnsi="宋体" w:cs="宋体"/>
          <w:b/>
          <w:bCs/>
          <w:kern w:val="0"/>
          <w:sz w:val="44"/>
          <w:szCs w:val="44"/>
          <w:highlight w:val="none"/>
          <w:lang w:eastAsia="zh-CN"/>
        </w:rPr>
        <w:t>泰安市中心医院(青岛大学附属泰安市中心医院、泰山医养中心) 市立院区安保服务采购项目</w:t>
      </w:r>
    </w:p>
    <w:p w14:paraId="349A6992">
      <w:pPr>
        <w:spacing w:line="360" w:lineRule="auto"/>
        <w:jc w:val="center"/>
        <w:rPr>
          <w:rFonts w:hint="eastAsia" w:ascii="宋体" w:hAnsi="宋体" w:cs="宋体"/>
          <w:b/>
          <w:sz w:val="72"/>
          <w:szCs w:val="72"/>
          <w:highlight w:val="none"/>
        </w:rPr>
      </w:pPr>
      <w:r>
        <w:rPr>
          <w:rFonts w:hint="eastAsia" w:ascii="宋体" w:hAnsi="宋体" w:cs="宋体"/>
          <w:b/>
          <w:sz w:val="72"/>
          <w:szCs w:val="72"/>
          <w:highlight w:val="none"/>
        </w:rPr>
        <w:t>招标文件</w:t>
      </w:r>
    </w:p>
    <w:p w14:paraId="5F5DF828">
      <w:pPr>
        <w:spacing w:line="360" w:lineRule="auto"/>
        <w:jc w:val="center"/>
        <w:rPr>
          <w:rFonts w:hint="eastAsia" w:ascii="宋体" w:hAnsi="宋体" w:eastAsia="宋体" w:cs="宋体"/>
          <w:b/>
          <w:sz w:val="56"/>
          <w:szCs w:val="56"/>
          <w:highlight w:val="none"/>
          <w:lang w:eastAsia="zh-CN"/>
        </w:rPr>
      </w:pPr>
      <w:r>
        <w:rPr>
          <w:rFonts w:hint="eastAsia" w:ascii="宋体" w:hAnsi="宋体" w:cs="宋体"/>
          <w:b/>
          <w:sz w:val="56"/>
          <w:szCs w:val="56"/>
          <w:highlight w:val="none"/>
          <w:lang w:eastAsia="zh-CN"/>
        </w:rPr>
        <w:t>（</w:t>
      </w:r>
      <w:r>
        <w:rPr>
          <w:rFonts w:hint="eastAsia" w:ascii="宋体" w:hAnsi="宋体" w:cs="宋体"/>
          <w:b/>
          <w:sz w:val="56"/>
          <w:szCs w:val="56"/>
          <w:highlight w:val="none"/>
          <w:lang w:val="en-US" w:eastAsia="zh-CN"/>
        </w:rPr>
        <w:t>二次</w:t>
      </w:r>
      <w:r>
        <w:rPr>
          <w:rFonts w:hint="eastAsia" w:ascii="宋体" w:hAnsi="宋体" w:cs="宋体"/>
          <w:b/>
          <w:sz w:val="56"/>
          <w:szCs w:val="56"/>
          <w:highlight w:val="none"/>
          <w:lang w:eastAsia="zh-CN"/>
        </w:rPr>
        <w:t>）</w:t>
      </w:r>
    </w:p>
    <w:p w14:paraId="4B68EEF3">
      <w:pPr>
        <w:widowControl/>
        <w:spacing w:line="360" w:lineRule="auto"/>
        <w:jc w:val="center"/>
        <w:rPr>
          <w:rFonts w:ascii="宋体" w:hAnsi="宋体" w:cs="宋体"/>
          <w:b/>
          <w:bCs/>
          <w:kern w:val="0"/>
          <w:sz w:val="36"/>
          <w:szCs w:val="36"/>
          <w:highlight w:val="none"/>
        </w:rPr>
      </w:pPr>
    </w:p>
    <w:p w14:paraId="4DD8505D">
      <w:pPr>
        <w:pStyle w:val="30"/>
        <w:spacing w:line="360" w:lineRule="auto"/>
        <w:jc w:val="center"/>
        <w:rPr>
          <w:rFonts w:hint="default" w:ascii="宋体" w:hAnsi="宋体" w:eastAsia="宋体" w:cs="宋体"/>
          <w:b/>
          <w:bCs/>
          <w:sz w:val="32"/>
          <w:szCs w:val="28"/>
          <w:highlight w:val="none"/>
          <w:lang w:val="en-US" w:eastAsia="zh-CN"/>
        </w:rPr>
      </w:pPr>
      <w:r>
        <w:rPr>
          <w:rFonts w:hint="eastAsia" w:ascii="宋体" w:hAnsi="宋体" w:cs="宋体"/>
          <w:b/>
          <w:bCs/>
          <w:sz w:val="32"/>
          <w:szCs w:val="28"/>
          <w:highlight w:val="none"/>
        </w:rPr>
        <w:t>项目编号：2024-H-</w:t>
      </w:r>
      <w:r>
        <w:rPr>
          <w:rFonts w:hint="eastAsia" w:ascii="宋体" w:hAnsi="宋体" w:cs="宋体"/>
          <w:b/>
          <w:bCs/>
          <w:sz w:val="32"/>
          <w:szCs w:val="28"/>
          <w:highlight w:val="none"/>
          <w:lang w:val="en-US" w:eastAsia="zh-CN"/>
        </w:rPr>
        <w:t>85</w:t>
      </w:r>
    </w:p>
    <w:p w14:paraId="79FB59B7">
      <w:pPr>
        <w:pStyle w:val="30"/>
        <w:spacing w:line="360" w:lineRule="auto"/>
        <w:jc w:val="center"/>
        <w:rPr>
          <w:rFonts w:hint="eastAsia" w:ascii="宋体" w:hAnsi="宋体" w:eastAsia="宋体" w:cs="宋体"/>
          <w:b/>
          <w:bCs/>
          <w:sz w:val="32"/>
          <w:szCs w:val="28"/>
          <w:highlight w:val="none"/>
          <w:lang w:eastAsia="zh-CN"/>
        </w:rPr>
      </w:pPr>
      <w:r>
        <w:rPr>
          <w:rFonts w:hint="eastAsia" w:ascii="宋体" w:hAnsi="宋体" w:cs="宋体"/>
          <w:b/>
          <w:bCs/>
          <w:sz w:val="32"/>
          <w:szCs w:val="28"/>
          <w:highlight w:val="none"/>
        </w:rPr>
        <w:t>进场交易编号：SJ-SHZC-241219-01-01-02</w:t>
      </w:r>
    </w:p>
    <w:p w14:paraId="23E1431D">
      <w:pPr>
        <w:tabs>
          <w:tab w:val="left" w:pos="1134"/>
          <w:tab w:val="left" w:pos="5481"/>
          <w:tab w:val="left" w:pos="5859"/>
        </w:tabs>
        <w:spacing w:line="360" w:lineRule="auto"/>
        <w:jc w:val="left"/>
        <w:rPr>
          <w:rFonts w:hint="eastAsia" w:ascii="宋体" w:hAnsi="宋体" w:cs="宋体"/>
          <w:b/>
          <w:bCs/>
          <w:snapToGrid w:val="0"/>
          <w:kern w:val="0"/>
          <w:sz w:val="32"/>
          <w:szCs w:val="28"/>
          <w:highlight w:val="none"/>
        </w:rPr>
      </w:pPr>
    </w:p>
    <w:p w14:paraId="22FE5B03">
      <w:pPr>
        <w:tabs>
          <w:tab w:val="left" w:pos="1134"/>
          <w:tab w:val="left" w:pos="5481"/>
          <w:tab w:val="left" w:pos="5859"/>
        </w:tabs>
        <w:spacing w:line="360" w:lineRule="auto"/>
        <w:ind w:left="1518" w:leftChars="723"/>
        <w:jc w:val="left"/>
        <w:rPr>
          <w:rFonts w:hint="eastAsia" w:ascii="宋体" w:hAnsi="宋体" w:eastAsia="宋体"/>
          <w:b/>
          <w:sz w:val="32"/>
          <w:szCs w:val="32"/>
          <w:highlight w:val="none"/>
          <w:u w:val="single"/>
          <w:lang w:eastAsia="zh-CN"/>
        </w:rPr>
      </w:pPr>
      <w:r>
        <w:rPr>
          <w:rFonts w:hint="eastAsia" w:ascii="宋体" w:hAnsi="宋体" w:cs="宋体"/>
          <w:b/>
          <w:bCs/>
          <w:snapToGrid w:val="0"/>
          <w:kern w:val="0"/>
          <w:sz w:val="32"/>
          <w:szCs w:val="28"/>
          <w:highlight w:val="none"/>
        </w:rPr>
        <w:t>采    购  人</w:t>
      </w:r>
      <w:r>
        <w:rPr>
          <w:rFonts w:hint="eastAsia" w:ascii="宋体" w:hAnsi="宋体"/>
          <w:b/>
          <w:sz w:val="32"/>
          <w:szCs w:val="32"/>
          <w:highlight w:val="none"/>
        </w:rPr>
        <w:t>：</w:t>
      </w:r>
      <w:r>
        <w:rPr>
          <w:rFonts w:hint="eastAsia" w:ascii="宋体" w:hAnsi="宋体"/>
          <w:b/>
          <w:sz w:val="32"/>
          <w:szCs w:val="32"/>
          <w:highlight w:val="none"/>
          <w:lang w:eastAsia="zh-CN"/>
        </w:rPr>
        <w:t xml:space="preserve">泰安市中心医院(青岛大学附属泰安市中心医院、泰山医养中心) </w:t>
      </w:r>
    </w:p>
    <w:p w14:paraId="235A1D13">
      <w:pPr>
        <w:tabs>
          <w:tab w:val="left" w:pos="1134"/>
          <w:tab w:val="left" w:pos="5481"/>
          <w:tab w:val="left" w:pos="5859"/>
        </w:tabs>
        <w:spacing w:line="360" w:lineRule="auto"/>
        <w:ind w:left="1518" w:leftChars="723"/>
        <w:jc w:val="left"/>
        <w:rPr>
          <w:rFonts w:ascii="宋体" w:hAnsi="宋体"/>
          <w:b/>
          <w:sz w:val="32"/>
          <w:szCs w:val="32"/>
          <w:highlight w:val="none"/>
        </w:rPr>
      </w:pPr>
      <w:r>
        <w:rPr>
          <w:rFonts w:hint="eastAsia" w:ascii="宋体" w:hAnsi="宋体"/>
          <w:b/>
          <w:sz w:val="32"/>
          <w:szCs w:val="32"/>
          <w:highlight w:val="none"/>
        </w:rPr>
        <w:t>采购代理机构：海逸恒安项目管理有限公司</w:t>
      </w:r>
    </w:p>
    <w:p w14:paraId="591513A0">
      <w:pPr>
        <w:tabs>
          <w:tab w:val="left" w:pos="1134"/>
          <w:tab w:val="left" w:pos="5481"/>
          <w:tab w:val="left" w:pos="5859"/>
        </w:tabs>
        <w:spacing w:line="360" w:lineRule="auto"/>
        <w:jc w:val="center"/>
        <w:rPr>
          <w:rFonts w:ascii="宋体" w:hAnsi="宋体"/>
          <w:b/>
          <w:kern w:val="0"/>
          <w:sz w:val="36"/>
          <w:szCs w:val="20"/>
          <w:highlight w:val="none"/>
        </w:rPr>
      </w:pPr>
      <w:r>
        <w:rPr>
          <w:rFonts w:hint="eastAsia" w:ascii="宋体" w:hAnsi="宋体" w:cs="宋体"/>
          <w:b/>
          <w:bCs/>
          <w:sz w:val="32"/>
          <w:szCs w:val="32"/>
          <w:highlight w:val="none"/>
        </w:rPr>
        <w:t>二零二</w:t>
      </w:r>
      <w:r>
        <w:rPr>
          <w:rFonts w:hint="eastAsia" w:ascii="宋体" w:hAnsi="宋体" w:cs="宋体"/>
          <w:b/>
          <w:bCs/>
          <w:sz w:val="32"/>
          <w:szCs w:val="32"/>
          <w:highlight w:val="none"/>
          <w:lang w:val="en-US" w:eastAsia="zh-CN"/>
        </w:rPr>
        <w:t>五</w:t>
      </w:r>
      <w:r>
        <w:rPr>
          <w:rFonts w:hint="eastAsia" w:ascii="宋体" w:hAnsi="宋体" w:cs="宋体"/>
          <w:b/>
          <w:bCs/>
          <w:sz w:val="32"/>
          <w:szCs w:val="32"/>
          <w:highlight w:val="none"/>
        </w:rPr>
        <w:t>年</w:t>
      </w:r>
      <w:r>
        <w:rPr>
          <w:rFonts w:hint="eastAsia" w:ascii="宋体" w:hAnsi="宋体" w:cs="宋体"/>
          <w:b/>
          <w:bCs/>
          <w:sz w:val="32"/>
          <w:szCs w:val="32"/>
          <w:highlight w:val="none"/>
          <w:lang w:val="en-US" w:eastAsia="zh-CN"/>
        </w:rPr>
        <w:t>二</w:t>
      </w:r>
      <w:r>
        <w:rPr>
          <w:rFonts w:hint="eastAsia" w:ascii="宋体" w:hAnsi="宋体" w:cs="宋体"/>
          <w:b/>
          <w:bCs/>
          <w:sz w:val="32"/>
          <w:szCs w:val="32"/>
          <w:highlight w:val="none"/>
        </w:rPr>
        <w:t>月</w:t>
      </w:r>
    </w:p>
    <w:p w14:paraId="5D04B68F">
      <w:pPr>
        <w:pStyle w:val="31"/>
        <w:spacing w:line="360" w:lineRule="auto"/>
        <w:ind w:left="0" w:leftChars="0" w:firstLine="0" w:firstLineChars="0"/>
        <w:jc w:val="center"/>
        <w:rPr>
          <w:rFonts w:hint="eastAsia" w:ascii="宋体" w:hAnsi="宋体"/>
          <w:b/>
          <w:sz w:val="36"/>
          <w:highlight w:val="none"/>
        </w:rPr>
        <w:sectPr>
          <w:headerReference r:id="rId3" w:type="default"/>
          <w:footerReference r:id="rId4" w:type="default"/>
          <w:pgSz w:w="11907" w:h="16840"/>
          <w:pgMar w:top="1418" w:right="1417" w:bottom="1418" w:left="1417" w:header="851" w:footer="822" w:gutter="0"/>
          <w:pgNumType w:fmt="decimal"/>
          <w:cols w:space="720" w:num="1"/>
          <w:rtlGutter w:val="1"/>
          <w:docGrid w:linePitch="290" w:charSpace="0"/>
        </w:sectPr>
      </w:pPr>
    </w:p>
    <w:p w14:paraId="5F13946D">
      <w:pPr>
        <w:pStyle w:val="31"/>
        <w:spacing w:line="360" w:lineRule="auto"/>
        <w:ind w:left="0" w:leftChars="0" w:firstLine="0" w:firstLineChars="0"/>
        <w:jc w:val="center"/>
        <w:rPr>
          <w:rFonts w:ascii="宋体" w:hAnsi="宋体"/>
          <w:b/>
          <w:bCs w:val="0"/>
          <w:sz w:val="36"/>
          <w:highlight w:val="none"/>
        </w:rPr>
      </w:pPr>
      <w:r>
        <w:rPr>
          <w:rFonts w:hint="eastAsia" w:ascii="宋体" w:hAnsi="宋体"/>
          <w:b/>
          <w:bCs w:val="0"/>
          <w:sz w:val="36"/>
          <w:highlight w:val="none"/>
        </w:rPr>
        <w:t>目</w:t>
      </w:r>
      <w:r>
        <w:rPr>
          <w:rFonts w:hint="eastAsia" w:ascii="宋体" w:hAnsi="宋体"/>
          <w:b/>
          <w:bCs w:val="0"/>
          <w:sz w:val="36"/>
          <w:highlight w:val="none"/>
          <w:lang w:val="en-US" w:eastAsia="zh-CN"/>
        </w:rPr>
        <w:t xml:space="preserve">  </w:t>
      </w:r>
      <w:r>
        <w:rPr>
          <w:rFonts w:hint="eastAsia" w:ascii="宋体" w:hAnsi="宋体"/>
          <w:b/>
          <w:bCs w:val="0"/>
          <w:sz w:val="36"/>
          <w:highlight w:val="none"/>
        </w:rPr>
        <w:t>录</w:t>
      </w:r>
    </w:p>
    <w:p w14:paraId="01392577">
      <w:pPr>
        <w:pStyle w:val="53"/>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val="0"/>
          <w:caps w:val="0"/>
          <w:sz w:val="44"/>
          <w:szCs w:val="24"/>
          <w:highlight w:val="none"/>
        </w:rPr>
        <w:fldChar w:fldCharType="begin"/>
      </w:r>
      <w:r>
        <w:rPr>
          <w:rFonts w:ascii="宋体" w:hAnsi="宋体"/>
          <w:bCs w:val="0"/>
          <w:caps w:val="0"/>
          <w:sz w:val="44"/>
          <w:szCs w:val="24"/>
          <w:highlight w:val="none"/>
        </w:rPr>
        <w:instrText xml:space="preserve"> TOC \o "1-3" \h \z \u </w:instrText>
      </w:r>
      <w:r>
        <w:rPr>
          <w:rFonts w:ascii="宋体" w:hAnsi="宋体"/>
          <w:bCs w:val="0"/>
          <w:caps w:val="0"/>
          <w:sz w:val="44"/>
          <w:szCs w:val="24"/>
          <w:highlight w:val="none"/>
        </w:rPr>
        <w:fldChar w:fldCharType="separate"/>
      </w:r>
      <w:r>
        <w:rPr>
          <w:rFonts w:ascii="宋体" w:hAnsi="宋体"/>
          <w:bCs w:val="0"/>
          <w:caps w:val="0"/>
          <w:szCs w:val="24"/>
          <w:highlight w:val="none"/>
        </w:rPr>
        <w:fldChar w:fldCharType="begin"/>
      </w:r>
      <w:r>
        <w:rPr>
          <w:rFonts w:ascii="宋体" w:hAnsi="宋体"/>
          <w:bCs w:val="0"/>
          <w:caps w:val="0"/>
          <w:szCs w:val="24"/>
          <w:highlight w:val="none"/>
        </w:rPr>
        <w:instrText xml:space="preserve"> HYPERLINK \l _Toc6641 </w:instrText>
      </w:r>
      <w:r>
        <w:rPr>
          <w:rFonts w:ascii="宋体" w:hAnsi="宋体"/>
          <w:bCs w:val="0"/>
          <w:caps w:val="0"/>
          <w:szCs w:val="24"/>
          <w:highlight w:val="none"/>
        </w:rPr>
        <w:fldChar w:fldCharType="separate"/>
      </w:r>
      <w:r>
        <w:rPr>
          <w:rFonts w:hint="eastAsia" w:ascii="宋体" w:hAnsi="宋体"/>
          <w:kern w:val="2"/>
          <w:highlight w:val="none"/>
        </w:rPr>
        <w:t>第一章  招标公告</w:t>
      </w:r>
      <w:r>
        <w:tab/>
      </w:r>
      <w:r>
        <w:fldChar w:fldCharType="begin"/>
      </w:r>
      <w:r>
        <w:instrText xml:space="preserve"> PAGEREF _Toc6641 \h </w:instrText>
      </w:r>
      <w:r>
        <w:fldChar w:fldCharType="separate"/>
      </w:r>
      <w:r>
        <w:t>3</w:t>
      </w:r>
      <w:r>
        <w:fldChar w:fldCharType="end"/>
      </w:r>
      <w:r>
        <w:rPr>
          <w:rFonts w:ascii="宋体" w:hAnsi="宋体"/>
          <w:bCs w:val="0"/>
          <w:caps w:val="0"/>
          <w:szCs w:val="24"/>
          <w:highlight w:val="none"/>
        </w:rPr>
        <w:fldChar w:fldCharType="end"/>
      </w:r>
    </w:p>
    <w:p w14:paraId="2E74CCD7">
      <w:pPr>
        <w:pStyle w:val="53"/>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_Toc17691 </w:instrText>
      </w:r>
      <w:r>
        <w:rPr>
          <w:rFonts w:ascii="宋体" w:hAnsi="宋体"/>
          <w:bCs/>
          <w:caps/>
          <w:szCs w:val="24"/>
          <w:highlight w:val="none"/>
        </w:rPr>
        <w:fldChar w:fldCharType="separate"/>
      </w:r>
      <w:r>
        <w:rPr>
          <w:rFonts w:hint="eastAsia" w:ascii="宋体" w:hAnsi="宋体"/>
          <w:kern w:val="2"/>
        </w:rPr>
        <w:t xml:space="preserve">第二章 </w:t>
      </w:r>
      <w:r>
        <w:rPr>
          <w:rFonts w:hint="eastAsia" w:ascii="宋体" w:hAnsi="宋体"/>
          <w:kern w:val="2"/>
          <w:highlight w:val="none"/>
        </w:rPr>
        <w:t>供应商须知</w:t>
      </w:r>
      <w:r>
        <w:tab/>
      </w:r>
      <w:r>
        <w:fldChar w:fldCharType="begin"/>
      </w:r>
      <w:r>
        <w:instrText xml:space="preserve"> PAGEREF _Toc17691 \h </w:instrText>
      </w:r>
      <w:r>
        <w:fldChar w:fldCharType="separate"/>
      </w:r>
      <w:r>
        <w:t>6</w:t>
      </w:r>
      <w:r>
        <w:fldChar w:fldCharType="end"/>
      </w:r>
      <w:r>
        <w:rPr>
          <w:rFonts w:ascii="宋体" w:hAnsi="宋体"/>
          <w:bCs/>
          <w:caps/>
          <w:szCs w:val="24"/>
          <w:highlight w:val="none"/>
        </w:rPr>
        <w:fldChar w:fldCharType="end"/>
      </w:r>
    </w:p>
    <w:p w14:paraId="38D3B0B3">
      <w:pPr>
        <w:pStyle w:val="53"/>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_Toc17462 </w:instrText>
      </w:r>
      <w:r>
        <w:rPr>
          <w:rFonts w:ascii="宋体" w:hAnsi="宋体"/>
          <w:bCs/>
          <w:caps/>
          <w:szCs w:val="24"/>
          <w:highlight w:val="none"/>
        </w:rPr>
        <w:fldChar w:fldCharType="separate"/>
      </w:r>
      <w:r>
        <w:rPr>
          <w:rFonts w:hint="eastAsia" w:ascii="宋体" w:hAnsi="宋体"/>
          <w:szCs w:val="30"/>
          <w:highlight w:val="none"/>
        </w:rPr>
        <w:t>供应商须知前附表</w:t>
      </w:r>
      <w:r>
        <w:tab/>
      </w:r>
      <w:r>
        <w:fldChar w:fldCharType="begin"/>
      </w:r>
      <w:r>
        <w:instrText xml:space="preserve"> PAGEREF _Toc17462 \h </w:instrText>
      </w:r>
      <w:r>
        <w:fldChar w:fldCharType="separate"/>
      </w:r>
      <w:r>
        <w:t>6</w:t>
      </w:r>
      <w:r>
        <w:fldChar w:fldCharType="end"/>
      </w:r>
      <w:r>
        <w:rPr>
          <w:rFonts w:ascii="宋体" w:hAnsi="宋体"/>
          <w:bCs/>
          <w:caps/>
          <w:szCs w:val="24"/>
          <w:highlight w:val="none"/>
        </w:rPr>
        <w:fldChar w:fldCharType="end"/>
      </w:r>
    </w:p>
    <w:p w14:paraId="1CC9D99D">
      <w:pPr>
        <w:pStyle w:val="62"/>
        <w:keepNext w:val="0"/>
        <w:keepLines w:val="0"/>
        <w:pageBreakBefore w:val="0"/>
        <w:widowControl w:val="0"/>
        <w:tabs>
          <w:tab w:val="right" w:leader="dot" w:pos="9073"/>
          <w:tab w:val="clear" w:pos="8597"/>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_Toc14861 </w:instrText>
      </w:r>
      <w:r>
        <w:rPr>
          <w:rFonts w:ascii="宋体" w:hAnsi="宋体"/>
          <w:bCs/>
          <w:caps/>
          <w:szCs w:val="24"/>
          <w:highlight w:val="none"/>
        </w:rPr>
        <w:fldChar w:fldCharType="separate"/>
      </w:r>
      <w:r>
        <w:rPr>
          <w:rFonts w:hint="eastAsia" w:ascii="宋体" w:hAnsi="宋体" w:eastAsia="宋体"/>
          <w:szCs w:val="24"/>
          <w:highlight w:val="none"/>
        </w:rPr>
        <w:t>一、说明</w:t>
      </w:r>
      <w:r>
        <w:tab/>
      </w:r>
      <w:r>
        <w:fldChar w:fldCharType="begin"/>
      </w:r>
      <w:r>
        <w:instrText xml:space="preserve"> PAGEREF _Toc14861 \h </w:instrText>
      </w:r>
      <w:r>
        <w:fldChar w:fldCharType="separate"/>
      </w:r>
      <w:r>
        <w:t>17</w:t>
      </w:r>
      <w:r>
        <w:fldChar w:fldCharType="end"/>
      </w:r>
      <w:r>
        <w:rPr>
          <w:rFonts w:ascii="宋体" w:hAnsi="宋体"/>
          <w:bCs/>
          <w:caps/>
          <w:szCs w:val="24"/>
          <w:highlight w:val="none"/>
        </w:rPr>
        <w:fldChar w:fldCharType="end"/>
      </w:r>
    </w:p>
    <w:p w14:paraId="7194A7C6">
      <w:pPr>
        <w:pStyle w:val="62"/>
        <w:keepNext w:val="0"/>
        <w:keepLines w:val="0"/>
        <w:pageBreakBefore w:val="0"/>
        <w:widowControl w:val="0"/>
        <w:tabs>
          <w:tab w:val="right" w:leader="dot" w:pos="9073"/>
          <w:tab w:val="clear" w:pos="8597"/>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_Toc24645 </w:instrText>
      </w:r>
      <w:r>
        <w:rPr>
          <w:rFonts w:ascii="宋体" w:hAnsi="宋体"/>
          <w:bCs/>
          <w:caps/>
          <w:szCs w:val="24"/>
          <w:highlight w:val="none"/>
        </w:rPr>
        <w:fldChar w:fldCharType="separate"/>
      </w:r>
      <w:r>
        <w:rPr>
          <w:rFonts w:hint="eastAsia" w:ascii="宋体" w:hAnsi="宋体" w:eastAsia="宋体"/>
          <w:szCs w:val="24"/>
          <w:highlight w:val="none"/>
        </w:rPr>
        <w:t>二、招标文件</w:t>
      </w:r>
      <w:r>
        <w:tab/>
      </w:r>
      <w:r>
        <w:fldChar w:fldCharType="begin"/>
      </w:r>
      <w:r>
        <w:instrText xml:space="preserve"> PAGEREF _Toc24645 \h </w:instrText>
      </w:r>
      <w:r>
        <w:fldChar w:fldCharType="separate"/>
      </w:r>
      <w:r>
        <w:t>17</w:t>
      </w:r>
      <w:r>
        <w:fldChar w:fldCharType="end"/>
      </w:r>
      <w:r>
        <w:rPr>
          <w:rFonts w:ascii="宋体" w:hAnsi="宋体"/>
          <w:bCs/>
          <w:caps/>
          <w:szCs w:val="24"/>
          <w:highlight w:val="none"/>
        </w:rPr>
        <w:fldChar w:fldCharType="end"/>
      </w:r>
    </w:p>
    <w:p w14:paraId="5D802A58">
      <w:pPr>
        <w:pStyle w:val="62"/>
        <w:keepNext w:val="0"/>
        <w:keepLines w:val="0"/>
        <w:pageBreakBefore w:val="0"/>
        <w:widowControl w:val="0"/>
        <w:tabs>
          <w:tab w:val="right" w:leader="dot" w:pos="9073"/>
          <w:tab w:val="clear" w:pos="8597"/>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_Toc29399 </w:instrText>
      </w:r>
      <w:r>
        <w:rPr>
          <w:rFonts w:ascii="宋体" w:hAnsi="宋体"/>
          <w:bCs/>
          <w:caps/>
          <w:szCs w:val="24"/>
          <w:highlight w:val="none"/>
        </w:rPr>
        <w:fldChar w:fldCharType="separate"/>
      </w:r>
      <w:r>
        <w:rPr>
          <w:rFonts w:hint="eastAsia" w:ascii="宋体" w:hAnsi="宋体" w:eastAsia="宋体"/>
          <w:szCs w:val="24"/>
          <w:highlight w:val="none"/>
        </w:rPr>
        <w:t>三、投标文件编写</w:t>
      </w:r>
      <w:r>
        <w:tab/>
      </w:r>
      <w:r>
        <w:fldChar w:fldCharType="begin"/>
      </w:r>
      <w:r>
        <w:instrText xml:space="preserve"> PAGEREF _Toc29399 \h </w:instrText>
      </w:r>
      <w:r>
        <w:fldChar w:fldCharType="separate"/>
      </w:r>
      <w:r>
        <w:t>17</w:t>
      </w:r>
      <w:r>
        <w:fldChar w:fldCharType="end"/>
      </w:r>
      <w:r>
        <w:rPr>
          <w:rFonts w:ascii="宋体" w:hAnsi="宋体"/>
          <w:bCs/>
          <w:caps/>
          <w:szCs w:val="24"/>
          <w:highlight w:val="none"/>
        </w:rPr>
        <w:fldChar w:fldCharType="end"/>
      </w:r>
    </w:p>
    <w:p w14:paraId="6A88A075">
      <w:pPr>
        <w:pStyle w:val="62"/>
        <w:keepNext w:val="0"/>
        <w:keepLines w:val="0"/>
        <w:pageBreakBefore w:val="0"/>
        <w:widowControl w:val="0"/>
        <w:tabs>
          <w:tab w:val="right" w:leader="dot" w:pos="9073"/>
          <w:tab w:val="clear" w:pos="8597"/>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_Toc5665 </w:instrText>
      </w:r>
      <w:r>
        <w:rPr>
          <w:rFonts w:ascii="宋体" w:hAnsi="宋体"/>
          <w:bCs/>
          <w:caps/>
          <w:szCs w:val="24"/>
          <w:highlight w:val="none"/>
        </w:rPr>
        <w:fldChar w:fldCharType="separate"/>
      </w:r>
      <w:r>
        <w:rPr>
          <w:rFonts w:hint="eastAsia" w:ascii="宋体" w:hAnsi="宋体" w:eastAsia="宋体"/>
          <w:szCs w:val="24"/>
          <w:highlight w:val="none"/>
        </w:rPr>
        <w:t>四、投标文件递交</w:t>
      </w:r>
      <w:r>
        <w:tab/>
      </w:r>
      <w:r>
        <w:fldChar w:fldCharType="begin"/>
      </w:r>
      <w:r>
        <w:instrText xml:space="preserve"> PAGEREF _Toc5665 \h </w:instrText>
      </w:r>
      <w:r>
        <w:fldChar w:fldCharType="separate"/>
      </w:r>
      <w:r>
        <w:t>22</w:t>
      </w:r>
      <w:r>
        <w:fldChar w:fldCharType="end"/>
      </w:r>
      <w:r>
        <w:rPr>
          <w:rFonts w:ascii="宋体" w:hAnsi="宋体"/>
          <w:bCs/>
          <w:caps/>
          <w:szCs w:val="24"/>
          <w:highlight w:val="none"/>
        </w:rPr>
        <w:fldChar w:fldCharType="end"/>
      </w:r>
    </w:p>
    <w:p w14:paraId="380D4D43">
      <w:pPr>
        <w:pStyle w:val="62"/>
        <w:keepNext w:val="0"/>
        <w:keepLines w:val="0"/>
        <w:pageBreakBefore w:val="0"/>
        <w:widowControl w:val="0"/>
        <w:tabs>
          <w:tab w:val="right" w:leader="dot" w:pos="9073"/>
          <w:tab w:val="clear" w:pos="8597"/>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_Toc6966 </w:instrText>
      </w:r>
      <w:r>
        <w:rPr>
          <w:rFonts w:ascii="宋体" w:hAnsi="宋体"/>
          <w:bCs/>
          <w:caps/>
          <w:szCs w:val="24"/>
          <w:highlight w:val="none"/>
        </w:rPr>
        <w:fldChar w:fldCharType="separate"/>
      </w:r>
      <w:r>
        <w:rPr>
          <w:rFonts w:hint="eastAsia" w:ascii="宋体" w:hAnsi="宋体" w:eastAsia="宋体"/>
          <w:szCs w:val="24"/>
          <w:highlight w:val="none"/>
        </w:rPr>
        <w:t>五、开标与评标</w:t>
      </w:r>
      <w:r>
        <w:tab/>
      </w:r>
      <w:r>
        <w:fldChar w:fldCharType="begin"/>
      </w:r>
      <w:r>
        <w:instrText xml:space="preserve"> PAGEREF _Toc6966 \h </w:instrText>
      </w:r>
      <w:r>
        <w:fldChar w:fldCharType="separate"/>
      </w:r>
      <w:r>
        <w:t>22</w:t>
      </w:r>
      <w:r>
        <w:fldChar w:fldCharType="end"/>
      </w:r>
      <w:r>
        <w:rPr>
          <w:rFonts w:ascii="宋体" w:hAnsi="宋体"/>
          <w:bCs/>
          <w:caps/>
          <w:szCs w:val="24"/>
          <w:highlight w:val="none"/>
        </w:rPr>
        <w:fldChar w:fldCharType="end"/>
      </w:r>
    </w:p>
    <w:p w14:paraId="6FA92830">
      <w:pPr>
        <w:pStyle w:val="62"/>
        <w:keepNext w:val="0"/>
        <w:keepLines w:val="0"/>
        <w:pageBreakBefore w:val="0"/>
        <w:widowControl w:val="0"/>
        <w:tabs>
          <w:tab w:val="right" w:leader="dot" w:pos="9073"/>
          <w:tab w:val="clear" w:pos="8597"/>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_Toc32591 </w:instrText>
      </w:r>
      <w:r>
        <w:rPr>
          <w:rFonts w:ascii="宋体" w:hAnsi="宋体"/>
          <w:bCs/>
          <w:caps/>
          <w:szCs w:val="24"/>
          <w:highlight w:val="none"/>
        </w:rPr>
        <w:fldChar w:fldCharType="separate"/>
      </w:r>
      <w:r>
        <w:rPr>
          <w:rFonts w:hint="eastAsia" w:ascii="宋体" w:hAnsi="宋体" w:eastAsia="宋体" w:cs="宋体"/>
          <w:snapToGrid w:val="0"/>
          <w:szCs w:val="24"/>
          <w:highlight w:val="none"/>
        </w:rPr>
        <w:t>六、询问和质疑</w:t>
      </w:r>
      <w:r>
        <w:tab/>
      </w:r>
      <w:r>
        <w:fldChar w:fldCharType="begin"/>
      </w:r>
      <w:r>
        <w:instrText xml:space="preserve"> PAGEREF _Toc32591 \h </w:instrText>
      </w:r>
      <w:r>
        <w:fldChar w:fldCharType="separate"/>
      </w:r>
      <w:r>
        <w:t>30</w:t>
      </w:r>
      <w:r>
        <w:fldChar w:fldCharType="end"/>
      </w:r>
      <w:r>
        <w:rPr>
          <w:rFonts w:ascii="宋体" w:hAnsi="宋体"/>
          <w:bCs/>
          <w:caps/>
          <w:szCs w:val="24"/>
          <w:highlight w:val="none"/>
        </w:rPr>
        <w:fldChar w:fldCharType="end"/>
      </w:r>
    </w:p>
    <w:p w14:paraId="217F5CB5">
      <w:pPr>
        <w:pStyle w:val="62"/>
        <w:keepNext w:val="0"/>
        <w:keepLines w:val="0"/>
        <w:pageBreakBefore w:val="0"/>
        <w:widowControl w:val="0"/>
        <w:tabs>
          <w:tab w:val="right" w:leader="dot" w:pos="9073"/>
          <w:tab w:val="clear" w:pos="8597"/>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_Toc30825 </w:instrText>
      </w:r>
      <w:r>
        <w:rPr>
          <w:rFonts w:ascii="宋体" w:hAnsi="宋体"/>
          <w:bCs/>
          <w:caps/>
          <w:szCs w:val="24"/>
          <w:highlight w:val="none"/>
        </w:rPr>
        <w:fldChar w:fldCharType="separate"/>
      </w:r>
      <w:r>
        <w:rPr>
          <w:rFonts w:hint="eastAsia" w:ascii="宋体" w:hAnsi="宋体" w:eastAsia="宋体" w:cs="宋体"/>
          <w:snapToGrid w:val="0"/>
          <w:szCs w:val="24"/>
          <w:highlight w:val="none"/>
        </w:rPr>
        <w:t>七、授予合同</w:t>
      </w:r>
      <w:r>
        <w:tab/>
      </w:r>
      <w:r>
        <w:fldChar w:fldCharType="begin"/>
      </w:r>
      <w:r>
        <w:instrText xml:space="preserve"> PAGEREF _Toc30825 \h </w:instrText>
      </w:r>
      <w:r>
        <w:fldChar w:fldCharType="separate"/>
      </w:r>
      <w:r>
        <w:t>32</w:t>
      </w:r>
      <w:r>
        <w:fldChar w:fldCharType="end"/>
      </w:r>
      <w:r>
        <w:rPr>
          <w:rFonts w:ascii="宋体" w:hAnsi="宋体"/>
          <w:bCs/>
          <w:caps/>
          <w:szCs w:val="24"/>
          <w:highlight w:val="none"/>
        </w:rPr>
        <w:fldChar w:fldCharType="end"/>
      </w:r>
    </w:p>
    <w:p w14:paraId="7CB23206">
      <w:pPr>
        <w:pStyle w:val="62"/>
        <w:keepNext w:val="0"/>
        <w:keepLines w:val="0"/>
        <w:pageBreakBefore w:val="0"/>
        <w:widowControl w:val="0"/>
        <w:tabs>
          <w:tab w:val="right" w:leader="dot" w:pos="9073"/>
          <w:tab w:val="clear" w:pos="8597"/>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_Toc24221 </w:instrText>
      </w:r>
      <w:r>
        <w:rPr>
          <w:rFonts w:ascii="宋体" w:hAnsi="宋体"/>
          <w:bCs/>
          <w:caps/>
          <w:szCs w:val="24"/>
          <w:highlight w:val="none"/>
        </w:rPr>
        <w:fldChar w:fldCharType="separate"/>
      </w:r>
      <w:r>
        <w:rPr>
          <w:rFonts w:hint="eastAsia" w:ascii="宋体" w:hAnsi="宋体" w:eastAsia="宋体" w:cs="宋体"/>
          <w:snapToGrid w:val="0"/>
          <w:szCs w:val="24"/>
          <w:highlight w:val="none"/>
        </w:rPr>
        <w:t>八、履约保证金</w:t>
      </w:r>
      <w:r>
        <w:tab/>
      </w:r>
      <w:r>
        <w:fldChar w:fldCharType="begin"/>
      </w:r>
      <w:r>
        <w:instrText xml:space="preserve"> PAGEREF _Toc24221 \h </w:instrText>
      </w:r>
      <w:r>
        <w:fldChar w:fldCharType="separate"/>
      </w:r>
      <w:r>
        <w:t>33</w:t>
      </w:r>
      <w:r>
        <w:fldChar w:fldCharType="end"/>
      </w:r>
      <w:r>
        <w:rPr>
          <w:rFonts w:ascii="宋体" w:hAnsi="宋体"/>
          <w:bCs/>
          <w:caps/>
          <w:szCs w:val="24"/>
          <w:highlight w:val="none"/>
        </w:rPr>
        <w:fldChar w:fldCharType="end"/>
      </w:r>
    </w:p>
    <w:p w14:paraId="3594092F">
      <w:pPr>
        <w:pStyle w:val="62"/>
        <w:keepNext w:val="0"/>
        <w:keepLines w:val="0"/>
        <w:pageBreakBefore w:val="0"/>
        <w:widowControl w:val="0"/>
        <w:tabs>
          <w:tab w:val="right" w:leader="dot" w:pos="9073"/>
          <w:tab w:val="clear" w:pos="8597"/>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_Toc12908 </w:instrText>
      </w:r>
      <w:r>
        <w:rPr>
          <w:rFonts w:ascii="宋体" w:hAnsi="宋体"/>
          <w:bCs/>
          <w:caps/>
          <w:szCs w:val="24"/>
          <w:highlight w:val="none"/>
        </w:rPr>
        <w:fldChar w:fldCharType="separate"/>
      </w:r>
      <w:r>
        <w:rPr>
          <w:rFonts w:hint="eastAsia" w:ascii="宋体" w:hAnsi="宋体" w:eastAsia="宋体" w:cs="宋体"/>
          <w:snapToGrid w:val="0"/>
          <w:szCs w:val="24"/>
          <w:highlight w:val="none"/>
        </w:rPr>
        <w:t>九、相关费用</w:t>
      </w:r>
      <w:r>
        <w:tab/>
      </w:r>
      <w:r>
        <w:fldChar w:fldCharType="begin"/>
      </w:r>
      <w:r>
        <w:instrText xml:space="preserve"> PAGEREF _Toc12908 \h </w:instrText>
      </w:r>
      <w:r>
        <w:fldChar w:fldCharType="separate"/>
      </w:r>
      <w:r>
        <w:t>33</w:t>
      </w:r>
      <w:r>
        <w:fldChar w:fldCharType="end"/>
      </w:r>
      <w:r>
        <w:rPr>
          <w:rFonts w:ascii="宋体" w:hAnsi="宋体"/>
          <w:bCs/>
          <w:caps/>
          <w:szCs w:val="24"/>
          <w:highlight w:val="none"/>
        </w:rPr>
        <w:fldChar w:fldCharType="end"/>
      </w:r>
    </w:p>
    <w:p w14:paraId="06F90B7E">
      <w:pPr>
        <w:pStyle w:val="62"/>
        <w:keepNext w:val="0"/>
        <w:keepLines w:val="0"/>
        <w:pageBreakBefore w:val="0"/>
        <w:widowControl w:val="0"/>
        <w:tabs>
          <w:tab w:val="right" w:leader="dot" w:pos="9073"/>
          <w:tab w:val="clear" w:pos="8597"/>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_Toc29424 </w:instrText>
      </w:r>
      <w:r>
        <w:rPr>
          <w:rFonts w:ascii="宋体" w:hAnsi="宋体"/>
          <w:bCs/>
          <w:caps/>
          <w:szCs w:val="24"/>
          <w:highlight w:val="none"/>
        </w:rPr>
        <w:fldChar w:fldCharType="separate"/>
      </w:r>
      <w:r>
        <w:rPr>
          <w:rFonts w:hint="eastAsia" w:ascii="宋体" w:hAnsi="宋体" w:eastAsia="宋体" w:cs="宋体"/>
          <w:snapToGrid w:val="0"/>
          <w:szCs w:val="24"/>
          <w:highlight w:val="none"/>
        </w:rPr>
        <w:t>十、其他</w:t>
      </w:r>
      <w:r>
        <w:tab/>
      </w:r>
      <w:r>
        <w:fldChar w:fldCharType="begin"/>
      </w:r>
      <w:r>
        <w:instrText xml:space="preserve"> PAGEREF _Toc29424 \h </w:instrText>
      </w:r>
      <w:r>
        <w:fldChar w:fldCharType="separate"/>
      </w:r>
      <w:r>
        <w:t>33</w:t>
      </w:r>
      <w:r>
        <w:fldChar w:fldCharType="end"/>
      </w:r>
      <w:r>
        <w:rPr>
          <w:rFonts w:ascii="宋体" w:hAnsi="宋体"/>
          <w:bCs/>
          <w:caps/>
          <w:szCs w:val="24"/>
          <w:highlight w:val="none"/>
        </w:rPr>
        <w:fldChar w:fldCharType="end"/>
      </w:r>
    </w:p>
    <w:p w14:paraId="1EB369E8">
      <w:pPr>
        <w:pStyle w:val="62"/>
        <w:keepNext w:val="0"/>
        <w:keepLines w:val="0"/>
        <w:pageBreakBefore w:val="0"/>
        <w:widowControl w:val="0"/>
        <w:tabs>
          <w:tab w:val="right" w:leader="dot" w:pos="9073"/>
          <w:tab w:val="clear" w:pos="8597"/>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_Toc20478 </w:instrText>
      </w:r>
      <w:r>
        <w:rPr>
          <w:rFonts w:ascii="宋体" w:hAnsi="宋体"/>
          <w:bCs/>
          <w:caps/>
          <w:szCs w:val="24"/>
          <w:highlight w:val="none"/>
        </w:rPr>
        <w:fldChar w:fldCharType="separate"/>
      </w:r>
      <w:r>
        <w:rPr>
          <w:rFonts w:hint="eastAsia" w:ascii="宋体" w:hAnsi="宋体" w:eastAsia="宋体" w:cs="宋体"/>
          <w:snapToGrid w:val="0"/>
          <w:szCs w:val="24"/>
          <w:highlight w:val="none"/>
        </w:rPr>
        <w:t>十一、解释权</w:t>
      </w:r>
      <w:r>
        <w:tab/>
      </w:r>
      <w:r>
        <w:fldChar w:fldCharType="begin"/>
      </w:r>
      <w:r>
        <w:instrText xml:space="preserve"> PAGEREF _Toc20478 \h </w:instrText>
      </w:r>
      <w:r>
        <w:fldChar w:fldCharType="separate"/>
      </w:r>
      <w:r>
        <w:t>34</w:t>
      </w:r>
      <w:r>
        <w:fldChar w:fldCharType="end"/>
      </w:r>
      <w:r>
        <w:rPr>
          <w:rFonts w:ascii="宋体" w:hAnsi="宋体"/>
          <w:bCs/>
          <w:caps/>
          <w:szCs w:val="24"/>
          <w:highlight w:val="none"/>
        </w:rPr>
        <w:fldChar w:fldCharType="end"/>
      </w:r>
    </w:p>
    <w:p w14:paraId="140054D6">
      <w:pPr>
        <w:pStyle w:val="53"/>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_Toc9653 </w:instrText>
      </w:r>
      <w:r>
        <w:rPr>
          <w:rFonts w:ascii="宋体" w:hAnsi="宋体"/>
          <w:bCs/>
          <w:caps/>
          <w:szCs w:val="24"/>
          <w:highlight w:val="none"/>
        </w:rPr>
        <w:fldChar w:fldCharType="separate"/>
      </w:r>
      <w:r>
        <w:rPr>
          <w:rFonts w:hint="eastAsia" w:ascii="宋体" w:hAnsi="宋体"/>
          <w:kern w:val="2"/>
        </w:rPr>
        <w:t xml:space="preserve">第三章 </w:t>
      </w:r>
      <w:r>
        <w:rPr>
          <w:rFonts w:hint="eastAsia" w:ascii="宋体" w:hAnsi="宋体"/>
          <w:kern w:val="2"/>
          <w:highlight w:val="none"/>
        </w:rPr>
        <w:t>评标方法</w:t>
      </w:r>
      <w:r>
        <w:tab/>
      </w:r>
      <w:r>
        <w:fldChar w:fldCharType="begin"/>
      </w:r>
      <w:r>
        <w:instrText xml:space="preserve"> PAGEREF _Toc9653 \h </w:instrText>
      </w:r>
      <w:r>
        <w:fldChar w:fldCharType="separate"/>
      </w:r>
      <w:r>
        <w:t>35</w:t>
      </w:r>
      <w:r>
        <w:fldChar w:fldCharType="end"/>
      </w:r>
      <w:r>
        <w:rPr>
          <w:rFonts w:ascii="宋体" w:hAnsi="宋体"/>
          <w:bCs/>
          <w:caps/>
          <w:szCs w:val="24"/>
          <w:highlight w:val="none"/>
        </w:rPr>
        <w:fldChar w:fldCharType="end"/>
      </w:r>
    </w:p>
    <w:p w14:paraId="5A8A3C6B">
      <w:pPr>
        <w:pStyle w:val="53"/>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_Toc17374 </w:instrText>
      </w:r>
      <w:r>
        <w:rPr>
          <w:rFonts w:ascii="宋体" w:hAnsi="宋体"/>
          <w:bCs/>
          <w:caps/>
          <w:szCs w:val="24"/>
          <w:highlight w:val="none"/>
        </w:rPr>
        <w:fldChar w:fldCharType="separate"/>
      </w:r>
      <w:r>
        <w:rPr>
          <w:rFonts w:hint="eastAsia" w:ascii="宋体" w:hAnsi="宋体"/>
          <w:kern w:val="2"/>
          <w:highlight w:val="none"/>
        </w:rPr>
        <w:t>第四章  采购内容及项目要求</w:t>
      </w:r>
      <w:r>
        <w:tab/>
      </w:r>
      <w:r>
        <w:fldChar w:fldCharType="begin"/>
      </w:r>
      <w:r>
        <w:instrText xml:space="preserve"> PAGEREF _Toc17374 \h </w:instrText>
      </w:r>
      <w:r>
        <w:fldChar w:fldCharType="separate"/>
      </w:r>
      <w:r>
        <w:t>41</w:t>
      </w:r>
      <w:r>
        <w:fldChar w:fldCharType="end"/>
      </w:r>
      <w:r>
        <w:rPr>
          <w:rFonts w:ascii="宋体" w:hAnsi="宋体"/>
          <w:bCs/>
          <w:caps/>
          <w:szCs w:val="24"/>
          <w:highlight w:val="none"/>
        </w:rPr>
        <w:fldChar w:fldCharType="end"/>
      </w:r>
    </w:p>
    <w:p w14:paraId="2728B9AF">
      <w:pPr>
        <w:pStyle w:val="53"/>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_Toc6570 </w:instrText>
      </w:r>
      <w:r>
        <w:rPr>
          <w:rFonts w:ascii="宋体" w:hAnsi="宋体"/>
          <w:bCs/>
          <w:caps/>
          <w:szCs w:val="24"/>
          <w:highlight w:val="none"/>
        </w:rPr>
        <w:fldChar w:fldCharType="separate"/>
      </w:r>
      <w:r>
        <w:rPr>
          <w:rFonts w:hint="eastAsia" w:ascii="宋体" w:hAnsi="宋体"/>
          <w:kern w:val="2"/>
          <w:highlight w:val="none"/>
        </w:rPr>
        <w:t>第五章  合同格式（</w:t>
      </w:r>
      <w:r>
        <w:rPr>
          <w:rFonts w:hint="eastAsia" w:ascii="宋体" w:hAnsi="宋体"/>
          <w:kern w:val="2"/>
          <w:highlight w:val="none"/>
          <w:lang w:val="en-US" w:eastAsia="zh-CN"/>
        </w:rPr>
        <w:t>参考</w:t>
      </w:r>
      <w:r>
        <w:rPr>
          <w:rFonts w:hint="eastAsia" w:ascii="宋体" w:hAnsi="宋体"/>
          <w:kern w:val="2"/>
          <w:highlight w:val="none"/>
        </w:rPr>
        <w:t>）</w:t>
      </w:r>
      <w:r>
        <w:tab/>
      </w:r>
      <w:r>
        <w:fldChar w:fldCharType="begin"/>
      </w:r>
      <w:r>
        <w:instrText xml:space="preserve"> PAGEREF _Toc6570 \h </w:instrText>
      </w:r>
      <w:r>
        <w:fldChar w:fldCharType="separate"/>
      </w:r>
      <w:r>
        <w:t>43</w:t>
      </w:r>
      <w:r>
        <w:fldChar w:fldCharType="end"/>
      </w:r>
      <w:r>
        <w:rPr>
          <w:rFonts w:ascii="宋体" w:hAnsi="宋体"/>
          <w:bCs/>
          <w:caps/>
          <w:szCs w:val="24"/>
          <w:highlight w:val="none"/>
        </w:rPr>
        <w:fldChar w:fldCharType="end"/>
      </w:r>
    </w:p>
    <w:p w14:paraId="69C4DA41">
      <w:pPr>
        <w:pStyle w:val="53"/>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_Toc7393 </w:instrText>
      </w:r>
      <w:r>
        <w:rPr>
          <w:rFonts w:ascii="宋体" w:hAnsi="宋体"/>
          <w:bCs/>
          <w:caps/>
          <w:szCs w:val="24"/>
          <w:highlight w:val="none"/>
        </w:rPr>
        <w:fldChar w:fldCharType="separate"/>
      </w:r>
      <w:r>
        <w:rPr>
          <w:rFonts w:hint="eastAsia" w:ascii="宋体" w:hAnsi="宋体"/>
          <w:kern w:val="2"/>
          <w:highlight w:val="none"/>
        </w:rPr>
        <w:t>第六章  附件（投标文件格式）</w:t>
      </w:r>
      <w:r>
        <w:tab/>
      </w:r>
      <w:r>
        <w:fldChar w:fldCharType="begin"/>
      </w:r>
      <w:r>
        <w:instrText xml:space="preserve"> PAGEREF _Toc7393 \h </w:instrText>
      </w:r>
      <w:r>
        <w:fldChar w:fldCharType="separate"/>
      </w:r>
      <w:r>
        <w:t>49</w:t>
      </w:r>
      <w:r>
        <w:fldChar w:fldCharType="end"/>
      </w:r>
      <w:r>
        <w:rPr>
          <w:rFonts w:ascii="宋体" w:hAnsi="宋体"/>
          <w:bCs/>
          <w:caps/>
          <w:szCs w:val="24"/>
          <w:highlight w:val="none"/>
        </w:rPr>
        <w:fldChar w:fldCharType="end"/>
      </w:r>
    </w:p>
    <w:p w14:paraId="1B6AAF70">
      <w:pPr>
        <w:pStyle w:val="40"/>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_Toc1303 </w:instrText>
      </w:r>
      <w:r>
        <w:rPr>
          <w:rFonts w:ascii="宋体" w:hAnsi="宋体"/>
          <w:bCs/>
          <w:caps/>
          <w:szCs w:val="24"/>
          <w:highlight w:val="none"/>
        </w:rPr>
        <w:fldChar w:fldCharType="separate"/>
      </w:r>
      <w:r>
        <w:rPr>
          <w:rFonts w:hint="eastAsia" w:ascii="宋体" w:hAnsi="宋体"/>
          <w:szCs w:val="21"/>
          <w:highlight w:val="none"/>
        </w:rPr>
        <w:t>附件一：投标函</w:t>
      </w:r>
      <w:r>
        <w:tab/>
      </w:r>
      <w:r>
        <w:fldChar w:fldCharType="begin"/>
      </w:r>
      <w:r>
        <w:instrText xml:space="preserve"> PAGEREF _Toc1303 \h </w:instrText>
      </w:r>
      <w:r>
        <w:fldChar w:fldCharType="separate"/>
      </w:r>
      <w:r>
        <w:t>49</w:t>
      </w:r>
      <w:r>
        <w:fldChar w:fldCharType="end"/>
      </w:r>
      <w:r>
        <w:rPr>
          <w:rFonts w:ascii="宋体" w:hAnsi="宋体"/>
          <w:bCs/>
          <w:caps/>
          <w:szCs w:val="24"/>
          <w:highlight w:val="none"/>
        </w:rPr>
        <w:fldChar w:fldCharType="end"/>
      </w:r>
    </w:p>
    <w:p w14:paraId="6E2069E4">
      <w:pPr>
        <w:pStyle w:val="40"/>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_Toc14292 </w:instrText>
      </w:r>
      <w:r>
        <w:rPr>
          <w:rFonts w:ascii="宋体" w:hAnsi="宋体"/>
          <w:bCs/>
          <w:caps/>
          <w:szCs w:val="24"/>
          <w:highlight w:val="none"/>
        </w:rPr>
        <w:fldChar w:fldCharType="separate"/>
      </w:r>
      <w:r>
        <w:rPr>
          <w:rFonts w:hint="eastAsia" w:ascii="宋体" w:hAnsi="宋体"/>
          <w:szCs w:val="21"/>
          <w:highlight w:val="none"/>
        </w:rPr>
        <w:t>附件二：授权委托书</w:t>
      </w:r>
      <w:r>
        <w:tab/>
      </w:r>
      <w:r>
        <w:fldChar w:fldCharType="begin"/>
      </w:r>
      <w:r>
        <w:instrText xml:space="preserve"> PAGEREF _Toc14292 \h </w:instrText>
      </w:r>
      <w:r>
        <w:fldChar w:fldCharType="separate"/>
      </w:r>
      <w:r>
        <w:t>50</w:t>
      </w:r>
      <w:r>
        <w:fldChar w:fldCharType="end"/>
      </w:r>
      <w:r>
        <w:rPr>
          <w:rFonts w:ascii="宋体" w:hAnsi="宋体"/>
          <w:bCs/>
          <w:caps/>
          <w:szCs w:val="24"/>
          <w:highlight w:val="none"/>
        </w:rPr>
        <w:fldChar w:fldCharType="end"/>
      </w:r>
    </w:p>
    <w:p w14:paraId="58EBB893">
      <w:pPr>
        <w:pStyle w:val="40"/>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_Toc23218 </w:instrText>
      </w:r>
      <w:r>
        <w:rPr>
          <w:rFonts w:ascii="宋体" w:hAnsi="宋体"/>
          <w:bCs/>
          <w:caps/>
          <w:szCs w:val="24"/>
          <w:highlight w:val="none"/>
        </w:rPr>
        <w:fldChar w:fldCharType="separate"/>
      </w:r>
      <w:r>
        <w:rPr>
          <w:rFonts w:hint="eastAsia" w:ascii="宋体" w:hAnsi="宋体"/>
          <w:szCs w:val="21"/>
          <w:highlight w:val="none"/>
        </w:rPr>
        <w:t>附件三：开标一览表</w:t>
      </w:r>
      <w:r>
        <w:tab/>
      </w:r>
      <w:r>
        <w:fldChar w:fldCharType="begin"/>
      </w:r>
      <w:r>
        <w:instrText xml:space="preserve"> PAGEREF _Toc23218 \h </w:instrText>
      </w:r>
      <w:r>
        <w:fldChar w:fldCharType="separate"/>
      </w:r>
      <w:r>
        <w:t>51</w:t>
      </w:r>
      <w:r>
        <w:fldChar w:fldCharType="end"/>
      </w:r>
      <w:r>
        <w:rPr>
          <w:rFonts w:ascii="宋体" w:hAnsi="宋体"/>
          <w:bCs/>
          <w:caps/>
          <w:szCs w:val="24"/>
          <w:highlight w:val="none"/>
        </w:rPr>
        <w:fldChar w:fldCharType="end"/>
      </w:r>
    </w:p>
    <w:p w14:paraId="696F7AFF">
      <w:pPr>
        <w:pStyle w:val="40"/>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_Toc2370 </w:instrText>
      </w:r>
      <w:r>
        <w:rPr>
          <w:rFonts w:ascii="宋体" w:hAnsi="宋体"/>
          <w:bCs/>
          <w:caps/>
          <w:szCs w:val="24"/>
          <w:highlight w:val="none"/>
        </w:rPr>
        <w:fldChar w:fldCharType="separate"/>
      </w:r>
      <w:r>
        <w:rPr>
          <w:rFonts w:hint="eastAsia" w:ascii="宋体" w:hAnsi="宋体"/>
          <w:szCs w:val="21"/>
          <w:highlight w:val="none"/>
        </w:rPr>
        <w:t>附件四：分项报价表</w:t>
      </w:r>
      <w:r>
        <w:tab/>
      </w:r>
      <w:r>
        <w:fldChar w:fldCharType="begin"/>
      </w:r>
      <w:r>
        <w:instrText xml:space="preserve"> PAGEREF _Toc2370 \h </w:instrText>
      </w:r>
      <w:r>
        <w:fldChar w:fldCharType="separate"/>
      </w:r>
      <w:r>
        <w:t>52</w:t>
      </w:r>
      <w:r>
        <w:fldChar w:fldCharType="end"/>
      </w:r>
      <w:r>
        <w:rPr>
          <w:rFonts w:ascii="宋体" w:hAnsi="宋体"/>
          <w:bCs/>
          <w:caps/>
          <w:szCs w:val="24"/>
          <w:highlight w:val="none"/>
        </w:rPr>
        <w:fldChar w:fldCharType="end"/>
      </w:r>
    </w:p>
    <w:p w14:paraId="620B2BD1">
      <w:pPr>
        <w:pStyle w:val="40"/>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_Toc7877 </w:instrText>
      </w:r>
      <w:r>
        <w:rPr>
          <w:rFonts w:ascii="宋体" w:hAnsi="宋体"/>
          <w:bCs/>
          <w:caps/>
          <w:szCs w:val="24"/>
          <w:highlight w:val="none"/>
        </w:rPr>
        <w:fldChar w:fldCharType="separate"/>
      </w:r>
      <w:r>
        <w:rPr>
          <w:rFonts w:hint="eastAsia" w:ascii="宋体" w:hAnsi="宋体"/>
          <w:szCs w:val="21"/>
          <w:highlight w:val="none"/>
        </w:rPr>
        <w:t>附件</w:t>
      </w:r>
      <w:r>
        <w:rPr>
          <w:rFonts w:hint="eastAsia" w:ascii="宋体" w:hAnsi="宋体"/>
          <w:bCs/>
          <w:szCs w:val="21"/>
          <w:highlight w:val="none"/>
        </w:rPr>
        <w:t>五</w:t>
      </w:r>
      <w:r>
        <w:rPr>
          <w:rFonts w:hint="eastAsia" w:ascii="宋体" w:hAnsi="宋体"/>
          <w:szCs w:val="21"/>
          <w:highlight w:val="none"/>
        </w:rPr>
        <w:t>：商务响应一览表</w:t>
      </w:r>
      <w:r>
        <w:tab/>
      </w:r>
      <w:r>
        <w:fldChar w:fldCharType="begin"/>
      </w:r>
      <w:r>
        <w:instrText xml:space="preserve"> PAGEREF _Toc7877 \h </w:instrText>
      </w:r>
      <w:r>
        <w:fldChar w:fldCharType="separate"/>
      </w:r>
      <w:r>
        <w:t>54</w:t>
      </w:r>
      <w:r>
        <w:fldChar w:fldCharType="end"/>
      </w:r>
      <w:r>
        <w:rPr>
          <w:rFonts w:ascii="宋体" w:hAnsi="宋体"/>
          <w:bCs/>
          <w:caps/>
          <w:szCs w:val="24"/>
          <w:highlight w:val="none"/>
        </w:rPr>
        <w:fldChar w:fldCharType="end"/>
      </w:r>
    </w:p>
    <w:p w14:paraId="6A457025">
      <w:pPr>
        <w:pStyle w:val="40"/>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_Toc1686 </w:instrText>
      </w:r>
      <w:r>
        <w:rPr>
          <w:rFonts w:ascii="宋体" w:hAnsi="宋体"/>
          <w:bCs/>
          <w:caps/>
          <w:szCs w:val="24"/>
          <w:highlight w:val="none"/>
        </w:rPr>
        <w:fldChar w:fldCharType="separate"/>
      </w:r>
      <w:r>
        <w:rPr>
          <w:rFonts w:hint="eastAsia" w:ascii="宋体" w:hAnsi="宋体"/>
          <w:szCs w:val="21"/>
          <w:highlight w:val="none"/>
        </w:rPr>
        <w:t>附件六：服务响应一览表</w:t>
      </w:r>
      <w:r>
        <w:tab/>
      </w:r>
      <w:r>
        <w:fldChar w:fldCharType="begin"/>
      </w:r>
      <w:r>
        <w:instrText xml:space="preserve"> PAGEREF _Toc1686 \h </w:instrText>
      </w:r>
      <w:r>
        <w:fldChar w:fldCharType="separate"/>
      </w:r>
      <w:r>
        <w:t>55</w:t>
      </w:r>
      <w:r>
        <w:fldChar w:fldCharType="end"/>
      </w:r>
      <w:r>
        <w:rPr>
          <w:rFonts w:ascii="宋体" w:hAnsi="宋体"/>
          <w:bCs/>
          <w:caps/>
          <w:szCs w:val="24"/>
          <w:highlight w:val="none"/>
        </w:rPr>
        <w:fldChar w:fldCharType="end"/>
      </w:r>
    </w:p>
    <w:p w14:paraId="60F9A51D">
      <w:pPr>
        <w:pStyle w:val="40"/>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_Toc29255 </w:instrText>
      </w:r>
      <w:r>
        <w:rPr>
          <w:rFonts w:ascii="宋体" w:hAnsi="宋体"/>
          <w:bCs/>
          <w:caps/>
          <w:szCs w:val="24"/>
          <w:highlight w:val="none"/>
        </w:rPr>
        <w:fldChar w:fldCharType="separate"/>
      </w:r>
      <w:r>
        <w:rPr>
          <w:rFonts w:hint="eastAsia" w:ascii="宋体" w:hAnsi="宋体"/>
          <w:szCs w:val="21"/>
          <w:highlight w:val="none"/>
        </w:rPr>
        <w:t>附件七：项目拟投入人员情况一览表</w:t>
      </w:r>
      <w:r>
        <w:tab/>
      </w:r>
      <w:r>
        <w:fldChar w:fldCharType="begin"/>
      </w:r>
      <w:r>
        <w:instrText xml:space="preserve"> PAGEREF _Toc29255 \h </w:instrText>
      </w:r>
      <w:r>
        <w:fldChar w:fldCharType="separate"/>
      </w:r>
      <w:r>
        <w:t>56</w:t>
      </w:r>
      <w:r>
        <w:fldChar w:fldCharType="end"/>
      </w:r>
      <w:r>
        <w:rPr>
          <w:rFonts w:ascii="宋体" w:hAnsi="宋体"/>
          <w:bCs/>
          <w:caps/>
          <w:szCs w:val="24"/>
          <w:highlight w:val="none"/>
        </w:rPr>
        <w:fldChar w:fldCharType="end"/>
      </w:r>
    </w:p>
    <w:p w14:paraId="68EEB2C8">
      <w:pPr>
        <w:pStyle w:val="40"/>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_Toc12599 </w:instrText>
      </w:r>
      <w:r>
        <w:rPr>
          <w:rFonts w:ascii="宋体" w:hAnsi="宋体"/>
          <w:bCs/>
          <w:caps/>
          <w:szCs w:val="24"/>
          <w:highlight w:val="none"/>
        </w:rPr>
        <w:fldChar w:fldCharType="separate"/>
      </w:r>
      <w:r>
        <w:rPr>
          <w:rFonts w:hint="eastAsia" w:ascii="宋体" w:hAnsi="宋体"/>
          <w:szCs w:val="21"/>
          <w:highlight w:val="none"/>
        </w:rPr>
        <w:t>附件八：近年类似业绩一览表</w:t>
      </w:r>
      <w:r>
        <w:tab/>
      </w:r>
      <w:r>
        <w:fldChar w:fldCharType="begin"/>
      </w:r>
      <w:r>
        <w:instrText xml:space="preserve"> PAGEREF _Toc12599 \h </w:instrText>
      </w:r>
      <w:r>
        <w:fldChar w:fldCharType="separate"/>
      </w:r>
      <w:r>
        <w:t>57</w:t>
      </w:r>
      <w:r>
        <w:fldChar w:fldCharType="end"/>
      </w:r>
      <w:r>
        <w:rPr>
          <w:rFonts w:ascii="宋体" w:hAnsi="宋体"/>
          <w:bCs/>
          <w:caps/>
          <w:szCs w:val="24"/>
          <w:highlight w:val="none"/>
        </w:rPr>
        <w:fldChar w:fldCharType="end"/>
      </w:r>
    </w:p>
    <w:p w14:paraId="509D809F">
      <w:pPr>
        <w:pStyle w:val="40"/>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_Toc27662 </w:instrText>
      </w:r>
      <w:r>
        <w:rPr>
          <w:rFonts w:ascii="宋体" w:hAnsi="宋体"/>
          <w:bCs/>
          <w:caps/>
          <w:szCs w:val="24"/>
          <w:highlight w:val="none"/>
        </w:rPr>
        <w:fldChar w:fldCharType="separate"/>
      </w:r>
      <w:r>
        <w:rPr>
          <w:rFonts w:hint="eastAsia" w:ascii="宋体" w:hAnsi="宋体"/>
          <w:szCs w:val="21"/>
          <w:highlight w:val="none"/>
        </w:rPr>
        <w:t>附件九：商务情况表</w:t>
      </w:r>
      <w:r>
        <w:tab/>
      </w:r>
      <w:r>
        <w:fldChar w:fldCharType="begin"/>
      </w:r>
      <w:r>
        <w:instrText xml:space="preserve"> PAGEREF _Toc27662 \h </w:instrText>
      </w:r>
      <w:r>
        <w:fldChar w:fldCharType="separate"/>
      </w:r>
      <w:r>
        <w:t>58</w:t>
      </w:r>
      <w:r>
        <w:fldChar w:fldCharType="end"/>
      </w:r>
      <w:r>
        <w:rPr>
          <w:rFonts w:ascii="宋体" w:hAnsi="宋体"/>
          <w:bCs/>
          <w:caps/>
          <w:szCs w:val="24"/>
          <w:highlight w:val="none"/>
        </w:rPr>
        <w:fldChar w:fldCharType="end"/>
      </w:r>
    </w:p>
    <w:p w14:paraId="02788C27">
      <w:pPr>
        <w:pStyle w:val="40"/>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_Toc7050 </w:instrText>
      </w:r>
      <w:r>
        <w:rPr>
          <w:rFonts w:ascii="宋体" w:hAnsi="宋体"/>
          <w:bCs/>
          <w:caps/>
          <w:szCs w:val="24"/>
          <w:highlight w:val="none"/>
        </w:rPr>
        <w:fldChar w:fldCharType="separate"/>
      </w:r>
      <w:r>
        <w:rPr>
          <w:rFonts w:hint="eastAsia" w:ascii="宋体" w:hAnsi="宋体"/>
          <w:bCs/>
          <w:szCs w:val="21"/>
          <w:highlight w:val="none"/>
        </w:rPr>
        <w:t>附件十：中小企业声明函</w:t>
      </w:r>
      <w:r>
        <w:tab/>
      </w:r>
      <w:r>
        <w:fldChar w:fldCharType="begin"/>
      </w:r>
      <w:r>
        <w:instrText xml:space="preserve"> PAGEREF _Toc7050 \h </w:instrText>
      </w:r>
      <w:r>
        <w:fldChar w:fldCharType="separate"/>
      </w:r>
      <w:r>
        <w:t>59</w:t>
      </w:r>
      <w:r>
        <w:fldChar w:fldCharType="end"/>
      </w:r>
      <w:r>
        <w:rPr>
          <w:rFonts w:ascii="宋体" w:hAnsi="宋体"/>
          <w:bCs/>
          <w:caps/>
          <w:szCs w:val="24"/>
          <w:highlight w:val="none"/>
        </w:rPr>
        <w:fldChar w:fldCharType="end"/>
      </w:r>
    </w:p>
    <w:p w14:paraId="7E48C294">
      <w:pPr>
        <w:pStyle w:val="40"/>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_Toc22595 </w:instrText>
      </w:r>
      <w:r>
        <w:rPr>
          <w:rFonts w:ascii="宋体" w:hAnsi="宋体"/>
          <w:bCs/>
          <w:caps/>
          <w:szCs w:val="24"/>
          <w:highlight w:val="none"/>
        </w:rPr>
        <w:fldChar w:fldCharType="separate"/>
      </w:r>
      <w:r>
        <w:rPr>
          <w:rFonts w:hint="eastAsia" w:ascii="宋体" w:hAnsi="宋体"/>
          <w:szCs w:val="21"/>
          <w:highlight w:val="none"/>
        </w:rPr>
        <w:t>附件十一、残疾人福利性单位声明函（如有）</w:t>
      </w:r>
      <w:r>
        <w:tab/>
      </w:r>
      <w:r>
        <w:fldChar w:fldCharType="begin"/>
      </w:r>
      <w:r>
        <w:instrText xml:space="preserve"> PAGEREF _Toc22595 \h </w:instrText>
      </w:r>
      <w:r>
        <w:fldChar w:fldCharType="separate"/>
      </w:r>
      <w:r>
        <w:t>60</w:t>
      </w:r>
      <w:r>
        <w:fldChar w:fldCharType="end"/>
      </w:r>
      <w:r>
        <w:rPr>
          <w:rFonts w:ascii="宋体" w:hAnsi="宋体"/>
          <w:bCs/>
          <w:caps/>
          <w:szCs w:val="24"/>
          <w:highlight w:val="none"/>
        </w:rPr>
        <w:fldChar w:fldCharType="end"/>
      </w:r>
    </w:p>
    <w:p w14:paraId="3F6D8D34">
      <w:pPr>
        <w:pStyle w:val="40"/>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_Toc16128 </w:instrText>
      </w:r>
      <w:r>
        <w:rPr>
          <w:rFonts w:ascii="宋体" w:hAnsi="宋体"/>
          <w:bCs/>
          <w:caps/>
          <w:szCs w:val="24"/>
          <w:highlight w:val="none"/>
        </w:rPr>
        <w:fldChar w:fldCharType="separate"/>
      </w:r>
      <w:r>
        <w:rPr>
          <w:rFonts w:hint="eastAsia" w:ascii="宋体" w:hAnsi="宋体"/>
          <w:szCs w:val="24"/>
          <w:highlight w:val="none"/>
        </w:rPr>
        <w:t>附件十二、资格证明材料格式（参考）</w:t>
      </w:r>
      <w:r>
        <w:tab/>
      </w:r>
      <w:r>
        <w:fldChar w:fldCharType="begin"/>
      </w:r>
      <w:r>
        <w:instrText xml:space="preserve"> PAGEREF _Toc16128 \h </w:instrText>
      </w:r>
      <w:r>
        <w:fldChar w:fldCharType="separate"/>
      </w:r>
      <w:r>
        <w:t>61</w:t>
      </w:r>
      <w:r>
        <w:fldChar w:fldCharType="end"/>
      </w:r>
      <w:r>
        <w:rPr>
          <w:rFonts w:ascii="宋体" w:hAnsi="宋体"/>
          <w:bCs/>
          <w:caps/>
          <w:szCs w:val="24"/>
          <w:highlight w:val="none"/>
        </w:rPr>
        <w:fldChar w:fldCharType="end"/>
      </w:r>
    </w:p>
    <w:p w14:paraId="2938FBEC">
      <w:pPr>
        <w:pStyle w:val="40"/>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_Toc30909 </w:instrText>
      </w:r>
      <w:r>
        <w:rPr>
          <w:rFonts w:ascii="宋体" w:hAnsi="宋体"/>
          <w:bCs/>
          <w:caps/>
          <w:szCs w:val="24"/>
          <w:highlight w:val="none"/>
        </w:rPr>
        <w:fldChar w:fldCharType="separate"/>
      </w:r>
      <w:r>
        <w:rPr>
          <w:rFonts w:hint="eastAsia" w:ascii="宋体" w:hAnsi="宋体" w:eastAsia="宋体" w:cs="Times New Roman"/>
          <w:kern w:val="0"/>
          <w:szCs w:val="24"/>
          <w:highlight w:val="none"/>
          <w:lang w:val="en-US" w:eastAsia="zh-CN" w:bidi="ar-SA"/>
        </w:rPr>
        <w:t>附件十三：政府采购诚信承诺书</w:t>
      </w:r>
      <w:r>
        <w:tab/>
      </w:r>
      <w:r>
        <w:fldChar w:fldCharType="begin"/>
      </w:r>
      <w:r>
        <w:instrText xml:space="preserve"> PAGEREF _Toc30909 \h </w:instrText>
      </w:r>
      <w:r>
        <w:fldChar w:fldCharType="separate"/>
      </w:r>
      <w:r>
        <w:t>69</w:t>
      </w:r>
      <w:r>
        <w:fldChar w:fldCharType="end"/>
      </w:r>
      <w:r>
        <w:rPr>
          <w:rFonts w:ascii="宋体" w:hAnsi="宋体"/>
          <w:bCs/>
          <w:caps/>
          <w:szCs w:val="24"/>
          <w:highlight w:val="none"/>
        </w:rPr>
        <w:fldChar w:fldCharType="end"/>
      </w:r>
    </w:p>
    <w:p w14:paraId="46B5672C">
      <w:pPr>
        <w:pStyle w:val="40"/>
        <w:keepNext w:val="0"/>
        <w:keepLines w:val="0"/>
        <w:pageBreakBefore w:val="0"/>
        <w:widowControl w:val="0"/>
        <w:tabs>
          <w:tab w:val="right" w:leader="dot" w:pos="9073"/>
        </w:tabs>
        <w:kinsoku/>
        <w:wordWrap/>
        <w:overflowPunct/>
        <w:topLinePunct w:val="0"/>
        <w:autoSpaceDE/>
        <w:autoSpaceDN/>
        <w:bidi w:val="0"/>
        <w:adjustRightInd/>
        <w:snapToGrid/>
        <w:spacing w:line="360" w:lineRule="exact"/>
        <w:textAlignment w:val="auto"/>
      </w:pPr>
      <w:r>
        <w:rPr>
          <w:rFonts w:ascii="宋体" w:hAnsi="宋体"/>
          <w:bCs/>
          <w:caps/>
          <w:szCs w:val="24"/>
          <w:highlight w:val="none"/>
        </w:rPr>
        <w:fldChar w:fldCharType="begin"/>
      </w:r>
      <w:r>
        <w:rPr>
          <w:rFonts w:ascii="宋体" w:hAnsi="宋体"/>
          <w:bCs/>
          <w:caps/>
          <w:szCs w:val="24"/>
          <w:highlight w:val="none"/>
        </w:rPr>
        <w:instrText xml:space="preserve"> HYPERLINK \l _Toc29596 </w:instrText>
      </w:r>
      <w:r>
        <w:rPr>
          <w:rFonts w:ascii="宋体" w:hAnsi="宋体"/>
          <w:bCs/>
          <w:caps/>
          <w:szCs w:val="24"/>
          <w:highlight w:val="none"/>
        </w:rPr>
        <w:fldChar w:fldCharType="separate"/>
      </w:r>
      <w:r>
        <w:rPr>
          <w:rFonts w:hint="eastAsia" w:cs="宋体"/>
          <w:bCs/>
          <w:szCs w:val="24"/>
          <w:highlight w:val="none"/>
          <w:shd w:val="clear" w:fill="FFFFFF"/>
          <w:lang w:val="en-US" w:eastAsia="zh-CN"/>
        </w:rPr>
        <w:t>附件十四：招标文件公平竞争审查自查表</w:t>
      </w:r>
      <w:r>
        <w:tab/>
      </w:r>
      <w:r>
        <w:fldChar w:fldCharType="begin"/>
      </w:r>
      <w:r>
        <w:instrText xml:space="preserve"> PAGEREF _Toc29596 \h </w:instrText>
      </w:r>
      <w:r>
        <w:fldChar w:fldCharType="separate"/>
      </w:r>
      <w:r>
        <w:t>71</w:t>
      </w:r>
      <w:r>
        <w:fldChar w:fldCharType="end"/>
      </w:r>
      <w:r>
        <w:rPr>
          <w:rFonts w:ascii="宋体" w:hAnsi="宋体"/>
          <w:bCs/>
          <w:caps/>
          <w:szCs w:val="24"/>
          <w:highlight w:val="none"/>
        </w:rPr>
        <w:fldChar w:fldCharType="end"/>
      </w:r>
    </w:p>
    <w:p w14:paraId="136910A3">
      <w:pPr>
        <w:pStyle w:val="2"/>
        <w:tabs>
          <w:tab w:val="right" w:leader="dot" w:pos="8647"/>
        </w:tabs>
        <w:adjustRightInd w:val="0"/>
        <w:snapToGrid w:val="0"/>
        <w:spacing w:before="0" w:after="0" w:line="360" w:lineRule="auto"/>
        <w:jc w:val="center"/>
        <w:rPr>
          <w:rFonts w:ascii="宋体" w:hAnsi="宋体"/>
          <w:bCs/>
          <w:caps/>
          <w:szCs w:val="24"/>
          <w:highlight w:val="none"/>
        </w:rPr>
        <w:sectPr>
          <w:footerReference r:id="rId5" w:type="default"/>
          <w:pgSz w:w="11907" w:h="16840"/>
          <w:pgMar w:top="1418" w:right="1417" w:bottom="1418" w:left="1417" w:header="851" w:footer="822" w:gutter="0"/>
          <w:pgNumType w:fmt="decimal"/>
          <w:cols w:space="720" w:num="1"/>
          <w:rtlGutter w:val="1"/>
          <w:docGrid w:linePitch="290" w:charSpace="0"/>
        </w:sectPr>
      </w:pPr>
      <w:r>
        <w:rPr>
          <w:rFonts w:ascii="宋体" w:hAnsi="宋体"/>
          <w:bCs/>
          <w:caps/>
          <w:szCs w:val="24"/>
          <w:highlight w:val="none"/>
        </w:rPr>
        <w:fldChar w:fldCharType="end"/>
      </w:r>
    </w:p>
    <w:p w14:paraId="1F500473">
      <w:pPr>
        <w:pStyle w:val="2"/>
        <w:tabs>
          <w:tab w:val="right" w:leader="dot" w:pos="8647"/>
        </w:tabs>
        <w:adjustRightInd w:val="0"/>
        <w:snapToGrid w:val="0"/>
        <w:spacing w:before="0" w:after="0" w:line="360" w:lineRule="auto"/>
        <w:jc w:val="center"/>
        <w:rPr>
          <w:rFonts w:ascii="宋体" w:hAnsi="宋体"/>
          <w:b w:val="0"/>
          <w:sz w:val="28"/>
          <w:szCs w:val="28"/>
          <w:highlight w:val="none"/>
        </w:rPr>
      </w:pPr>
      <w:bookmarkStart w:id="0" w:name="_Toc6641"/>
      <w:r>
        <w:rPr>
          <w:rFonts w:hint="eastAsia" w:ascii="宋体" w:hAnsi="宋体"/>
          <w:kern w:val="2"/>
          <w:sz w:val="32"/>
          <w:highlight w:val="none"/>
        </w:rPr>
        <w:t>第一章  招标公告</w:t>
      </w:r>
      <w:bookmarkEnd w:id="0"/>
    </w:p>
    <w:p w14:paraId="2E22D549">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项目概况</w:t>
      </w:r>
    </w:p>
    <w:p w14:paraId="198E96E8">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cs="宋体"/>
          <w:sz w:val="24"/>
          <w:highlight w:val="none"/>
        </w:rPr>
      </w:pPr>
      <w:r>
        <w:rPr>
          <w:rFonts w:hint="eastAsia" w:ascii="宋体" w:hAnsi="宋体" w:cs="宋体"/>
          <w:sz w:val="24"/>
          <w:highlight w:val="none"/>
          <w:u w:val="single"/>
          <w:lang w:eastAsia="zh-CN"/>
        </w:rPr>
        <w:t>泰安市中心医院(青岛大学附属泰安市中心医院、泰山医养中心) 市立院区安保服务采购项目</w:t>
      </w:r>
      <w:r>
        <w:rPr>
          <w:rFonts w:hint="eastAsia" w:ascii="宋体" w:hAnsi="宋体" w:cs="宋体"/>
          <w:sz w:val="24"/>
          <w:highlight w:val="none"/>
        </w:rPr>
        <w:t>招标项目的潜在投标人应在</w:t>
      </w:r>
      <w:r>
        <w:rPr>
          <w:rFonts w:hint="eastAsia" w:ascii="宋体" w:hAnsi="宋体" w:cs="宋体"/>
          <w:sz w:val="24"/>
          <w:highlight w:val="none"/>
          <w:u w:val="single"/>
          <w:lang w:eastAsia="zh-CN"/>
        </w:rPr>
        <w:t>泰安市公共资源交易中心官网</w:t>
      </w:r>
      <w:r>
        <w:rPr>
          <w:rFonts w:hint="eastAsia" w:ascii="宋体" w:hAnsi="宋体" w:cs="宋体"/>
          <w:sz w:val="24"/>
          <w:highlight w:val="none"/>
        </w:rPr>
        <w:t>获取招标文件，并于</w:t>
      </w:r>
      <w:r>
        <w:rPr>
          <w:rFonts w:hint="eastAsia" w:ascii="宋体" w:hAnsi="宋体" w:cs="宋体"/>
          <w:sz w:val="24"/>
          <w:highlight w:val="none"/>
          <w:u w:val="single"/>
        </w:rPr>
        <w:t>202</w:t>
      </w:r>
      <w:r>
        <w:rPr>
          <w:rFonts w:hint="eastAsia" w:ascii="宋体" w:hAnsi="宋体" w:cs="宋体"/>
          <w:sz w:val="24"/>
          <w:highlight w:val="none"/>
          <w:u w:val="single"/>
          <w:lang w:val="en-US" w:eastAsia="zh-CN"/>
        </w:rPr>
        <w:t>5</w:t>
      </w:r>
      <w:r>
        <w:rPr>
          <w:rFonts w:hint="eastAsia" w:ascii="宋体" w:hAnsi="宋体" w:cs="宋体"/>
          <w:sz w:val="24"/>
          <w:highlight w:val="none"/>
          <w:u w:val="single"/>
        </w:rPr>
        <w:t>年</w:t>
      </w:r>
      <w:r>
        <w:rPr>
          <w:rFonts w:hint="eastAsia" w:ascii="宋体" w:hAnsi="宋体" w:cs="宋体"/>
          <w:sz w:val="24"/>
          <w:highlight w:val="none"/>
          <w:u w:val="single"/>
          <w:lang w:val="en-US" w:eastAsia="zh-CN"/>
        </w:rPr>
        <w:t>03</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18</w:t>
      </w:r>
      <w:r>
        <w:rPr>
          <w:rFonts w:hint="eastAsia" w:ascii="宋体" w:hAnsi="宋体" w:cs="宋体"/>
          <w:sz w:val="24"/>
          <w:highlight w:val="none"/>
          <w:u w:val="single"/>
        </w:rPr>
        <w:t>日09</w:t>
      </w:r>
      <w:r>
        <w:rPr>
          <w:rFonts w:hint="eastAsia" w:ascii="宋体" w:hAnsi="宋体" w:cs="宋体"/>
          <w:sz w:val="24"/>
          <w:highlight w:val="none"/>
          <w:u w:val="single"/>
          <w:lang w:val="en-US" w:eastAsia="zh-CN"/>
        </w:rPr>
        <w:t>时00</w:t>
      </w:r>
      <w:r>
        <w:rPr>
          <w:rFonts w:hint="eastAsia" w:ascii="宋体" w:hAnsi="宋体" w:cs="宋体"/>
          <w:sz w:val="24"/>
          <w:highlight w:val="none"/>
          <w:u w:val="single"/>
        </w:rPr>
        <w:t>分</w:t>
      </w:r>
      <w:r>
        <w:rPr>
          <w:rFonts w:hint="eastAsia" w:ascii="宋体" w:hAnsi="宋体" w:cs="宋体"/>
          <w:bCs/>
          <w:sz w:val="24"/>
          <w:highlight w:val="none"/>
          <w:u w:val="single"/>
        </w:rPr>
        <w:t>（</w:t>
      </w:r>
      <w:r>
        <w:rPr>
          <w:rFonts w:hint="eastAsia" w:ascii="宋体" w:hAnsi="宋体" w:cs="宋体"/>
          <w:bCs/>
          <w:sz w:val="24"/>
          <w:highlight w:val="none"/>
        </w:rPr>
        <w:t>北京时间）前递交投标文件</w:t>
      </w:r>
      <w:r>
        <w:rPr>
          <w:rFonts w:hint="eastAsia" w:ascii="宋体" w:hAnsi="宋体" w:cs="宋体"/>
          <w:sz w:val="24"/>
          <w:highlight w:val="none"/>
        </w:rPr>
        <w:t>。</w:t>
      </w:r>
    </w:p>
    <w:p w14:paraId="3C316C42">
      <w:pPr>
        <w:spacing w:before="240" w:beforeLines="100" w:line="360" w:lineRule="auto"/>
        <w:rPr>
          <w:rFonts w:hint="eastAsia" w:ascii="宋体" w:hAnsi="宋体" w:cs="宋体"/>
          <w:b/>
          <w:bCs/>
          <w:sz w:val="24"/>
          <w:highlight w:val="none"/>
        </w:rPr>
      </w:pPr>
      <w:bookmarkStart w:id="1" w:name="_Toc28359002"/>
      <w:bookmarkStart w:id="2" w:name="_Toc28359079"/>
      <w:bookmarkStart w:id="3" w:name="_Toc35393790"/>
      <w:bookmarkStart w:id="4" w:name="_Toc35393621"/>
      <w:bookmarkStart w:id="5" w:name="_Hlk24379207"/>
      <w:r>
        <w:rPr>
          <w:rFonts w:hint="eastAsia" w:ascii="宋体" w:hAnsi="宋体" w:cs="宋体"/>
          <w:b/>
          <w:bCs/>
          <w:sz w:val="24"/>
          <w:highlight w:val="none"/>
        </w:rPr>
        <w:t>一、项目基本情况</w:t>
      </w:r>
      <w:bookmarkEnd w:id="1"/>
      <w:bookmarkEnd w:id="2"/>
      <w:bookmarkEnd w:id="3"/>
      <w:bookmarkEnd w:id="4"/>
    </w:p>
    <w:p w14:paraId="28C39751">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项目编号：2024-H-85</w:t>
      </w:r>
    </w:p>
    <w:p w14:paraId="2B7EE95A">
      <w:pPr>
        <w:spacing w:line="360" w:lineRule="auto"/>
        <w:ind w:firstLine="480" w:firstLineChars="200"/>
        <w:rPr>
          <w:rFonts w:hint="default" w:ascii="宋体" w:hAnsi="宋体" w:eastAsia="宋体" w:cs="宋体"/>
          <w:sz w:val="24"/>
          <w:highlight w:val="none"/>
          <w:lang w:val="en-US" w:eastAsia="zh-CN"/>
        </w:rPr>
      </w:pPr>
      <w:r>
        <w:rPr>
          <w:rFonts w:hint="eastAsia" w:ascii="宋体" w:hAnsi="宋体" w:eastAsia="宋体" w:cs="宋体"/>
          <w:sz w:val="24"/>
          <w:highlight w:val="none"/>
        </w:rPr>
        <w:t>进场交易编号：SJ-SHZC-241219-01-01</w:t>
      </w:r>
      <w:r>
        <w:rPr>
          <w:rFonts w:hint="eastAsia" w:ascii="宋体" w:hAnsi="宋体" w:cs="宋体"/>
          <w:sz w:val="24"/>
          <w:highlight w:val="none"/>
          <w:lang w:val="en-US" w:eastAsia="zh-CN"/>
        </w:rPr>
        <w:t>-02</w:t>
      </w:r>
    </w:p>
    <w:p w14:paraId="42DFFCE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项目名称：</w:t>
      </w:r>
      <w:bookmarkEnd w:id="5"/>
      <w:r>
        <w:rPr>
          <w:rFonts w:hint="eastAsia" w:ascii="宋体" w:hAnsi="宋体" w:cs="宋体"/>
          <w:sz w:val="24"/>
          <w:highlight w:val="none"/>
          <w:lang w:eastAsia="zh-CN"/>
        </w:rPr>
        <w:t>泰安市中心医院(青岛大学附属泰安市中心医院、泰山医养中心) 市立院区安保服务采购项目</w:t>
      </w:r>
    </w:p>
    <w:p w14:paraId="0C5510D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采购需求：</w:t>
      </w:r>
    </w:p>
    <w:tbl>
      <w:tblPr>
        <w:tblStyle w:val="75"/>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005"/>
        <w:gridCol w:w="1145"/>
        <w:gridCol w:w="1785"/>
        <w:gridCol w:w="1991"/>
        <w:gridCol w:w="1909"/>
      </w:tblGrid>
      <w:tr w14:paraId="249F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40" w:type="dxa"/>
            <w:noWrap w:val="0"/>
            <w:vAlign w:val="center"/>
          </w:tcPr>
          <w:p w14:paraId="6B38D803">
            <w:pPr>
              <w:widowControl/>
              <w:spacing w:line="360" w:lineRule="auto"/>
              <w:jc w:val="center"/>
              <w:rPr>
                <w:rFonts w:hint="eastAsia" w:ascii="宋体" w:hAnsi="宋体" w:cs="宋体"/>
                <w:snapToGrid w:val="0"/>
                <w:kern w:val="0"/>
                <w:sz w:val="24"/>
                <w:highlight w:val="none"/>
              </w:rPr>
            </w:pPr>
            <w:r>
              <w:rPr>
                <w:rFonts w:hint="eastAsia" w:ascii="宋体" w:hAnsi="宋体" w:cs="宋体"/>
                <w:snapToGrid w:val="0"/>
                <w:kern w:val="0"/>
                <w:sz w:val="24"/>
                <w:highlight w:val="none"/>
              </w:rPr>
              <w:t>标包</w:t>
            </w:r>
          </w:p>
        </w:tc>
        <w:tc>
          <w:tcPr>
            <w:tcW w:w="2005" w:type="dxa"/>
            <w:noWrap w:val="0"/>
            <w:vAlign w:val="center"/>
          </w:tcPr>
          <w:p w14:paraId="605ADF43">
            <w:pPr>
              <w:widowControl/>
              <w:spacing w:line="360" w:lineRule="auto"/>
              <w:jc w:val="center"/>
              <w:rPr>
                <w:rFonts w:hint="eastAsia" w:ascii="宋体" w:hAnsi="宋体" w:cs="宋体"/>
                <w:snapToGrid w:val="0"/>
                <w:kern w:val="0"/>
                <w:sz w:val="24"/>
                <w:highlight w:val="none"/>
              </w:rPr>
            </w:pPr>
            <w:r>
              <w:rPr>
                <w:rFonts w:hint="eastAsia" w:ascii="宋体" w:hAnsi="宋体" w:cs="宋体"/>
                <w:snapToGrid w:val="0"/>
                <w:kern w:val="0"/>
                <w:sz w:val="24"/>
                <w:highlight w:val="none"/>
              </w:rPr>
              <w:t>服务名称</w:t>
            </w:r>
          </w:p>
        </w:tc>
        <w:tc>
          <w:tcPr>
            <w:tcW w:w="1145" w:type="dxa"/>
            <w:noWrap w:val="0"/>
            <w:vAlign w:val="center"/>
          </w:tcPr>
          <w:p w14:paraId="502E751D">
            <w:pPr>
              <w:widowControl/>
              <w:spacing w:line="360" w:lineRule="auto"/>
              <w:jc w:val="center"/>
              <w:rPr>
                <w:rFonts w:hint="eastAsia" w:ascii="宋体" w:hAnsi="宋体" w:cs="宋体"/>
                <w:snapToGrid w:val="0"/>
                <w:kern w:val="0"/>
                <w:sz w:val="24"/>
                <w:highlight w:val="none"/>
              </w:rPr>
            </w:pPr>
            <w:r>
              <w:rPr>
                <w:rFonts w:hint="eastAsia" w:ascii="宋体" w:hAnsi="宋体" w:cs="宋体"/>
                <w:snapToGrid w:val="0"/>
                <w:kern w:val="0"/>
                <w:sz w:val="24"/>
                <w:highlight w:val="none"/>
              </w:rPr>
              <w:t>数量</w:t>
            </w:r>
          </w:p>
        </w:tc>
        <w:tc>
          <w:tcPr>
            <w:tcW w:w="1785" w:type="dxa"/>
            <w:noWrap w:val="0"/>
            <w:vAlign w:val="center"/>
          </w:tcPr>
          <w:p w14:paraId="0FB6A9D1">
            <w:pPr>
              <w:widowControl/>
              <w:spacing w:line="360" w:lineRule="auto"/>
              <w:jc w:val="center"/>
              <w:rPr>
                <w:rFonts w:hint="eastAsia" w:ascii="宋体" w:hAnsi="宋体" w:cs="宋体"/>
                <w:snapToGrid w:val="0"/>
                <w:kern w:val="0"/>
                <w:sz w:val="24"/>
                <w:highlight w:val="none"/>
              </w:rPr>
            </w:pPr>
            <w:r>
              <w:rPr>
                <w:rFonts w:hint="eastAsia" w:ascii="宋体" w:hAnsi="宋体" w:cs="宋体"/>
                <w:snapToGrid w:val="0"/>
                <w:kern w:val="0"/>
                <w:sz w:val="24"/>
                <w:highlight w:val="none"/>
              </w:rPr>
              <w:t>服务要求</w:t>
            </w:r>
          </w:p>
        </w:tc>
        <w:tc>
          <w:tcPr>
            <w:tcW w:w="1991" w:type="dxa"/>
            <w:noWrap w:val="0"/>
            <w:vAlign w:val="center"/>
          </w:tcPr>
          <w:p w14:paraId="6D66D3C1">
            <w:pPr>
              <w:widowControl/>
              <w:spacing w:line="360" w:lineRule="auto"/>
              <w:jc w:val="center"/>
              <w:rPr>
                <w:rFonts w:hint="eastAsia" w:ascii="宋体" w:hAnsi="宋体" w:cs="宋体"/>
                <w:snapToGrid w:val="0"/>
                <w:kern w:val="0"/>
                <w:sz w:val="24"/>
                <w:highlight w:val="none"/>
              </w:rPr>
            </w:pPr>
            <w:r>
              <w:rPr>
                <w:rFonts w:hint="eastAsia" w:ascii="宋体" w:hAnsi="宋体" w:eastAsia="宋体" w:cs="宋体"/>
                <w:snapToGrid w:val="0"/>
                <w:kern w:val="0"/>
                <w:sz w:val="24"/>
                <w:highlight w:val="none"/>
              </w:rPr>
              <w:t>预算金额(万元)</w:t>
            </w:r>
          </w:p>
        </w:tc>
        <w:tc>
          <w:tcPr>
            <w:tcW w:w="1909" w:type="dxa"/>
            <w:noWrap w:val="0"/>
            <w:vAlign w:val="center"/>
          </w:tcPr>
          <w:p w14:paraId="41507F9A">
            <w:pPr>
              <w:widowControl/>
              <w:spacing w:line="360" w:lineRule="auto"/>
              <w:jc w:val="center"/>
              <w:rPr>
                <w:rFonts w:hint="eastAsia" w:ascii="宋体" w:hAnsi="宋体" w:cs="宋体"/>
                <w:snapToGrid w:val="0"/>
                <w:kern w:val="0"/>
                <w:sz w:val="24"/>
                <w:highlight w:val="none"/>
              </w:rPr>
            </w:pPr>
            <w:r>
              <w:rPr>
                <w:rFonts w:hint="eastAsia" w:ascii="宋体" w:hAnsi="宋体" w:cs="宋体"/>
                <w:snapToGrid w:val="0"/>
                <w:kern w:val="0"/>
                <w:sz w:val="24"/>
                <w:highlight w:val="none"/>
              </w:rPr>
              <w:t>最高限价(万元)</w:t>
            </w:r>
          </w:p>
        </w:tc>
      </w:tr>
      <w:tr w14:paraId="6275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840" w:type="dxa"/>
            <w:noWrap w:val="0"/>
            <w:vAlign w:val="center"/>
          </w:tcPr>
          <w:p w14:paraId="7200CF74">
            <w:pPr>
              <w:pStyle w:val="38"/>
              <w:spacing w:line="360" w:lineRule="auto"/>
              <w:ind w:left="0" w:firstLine="0"/>
              <w:jc w:val="center"/>
              <w:rPr>
                <w:rFonts w:hint="eastAsia" w:ascii="宋体" w:hAnsi="宋体" w:eastAsia="宋体" w:cs="宋体"/>
                <w:snapToGrid w:val="0"/>
                <w:kern w:val="0"/>
                <w:sz w:val="24"/>
                <w:highlight w:val="none"/>
                <w:lang w:val="en-US" w:eastAsia="zh-CN"/>
              </w:rPr>
            </w:pPr>
            <w:r>
              <w:rPr>
                <w:rFonts w:hint="eastAsia" w:ascii="宋体" w:hAnsi="宋体" w:eastAsia="宋体" w:cs="宋体"/>
                <w:snapToGrid w:val="0"/>
                <w:kern w:val="0"/>
                <w:sz w:val="24"/>
                <w:highlight w:val="none"/>
                <w:lang w:val="en-US" w:eastAsia="zh-CN"/>
              </w:rPr>
              <w:t>B</w:t>
            </w:r>
          </w:p>
        </w:tc>
        <w:tc>
          <w:tcPr>
            <w:tcW w:w="2005" w:type="dxa"/>
            <w:noWrap w:val="0"/>
            <w:vAlign w:val="center"/>
          </w:tcPr>
          <w:p w14:paraId="28FE3C6F">
            <w:pPr>
              <w:pStyle w:val="38"/>
              <w:spacing w:line="360" w:lineRule="auto"/>
              <w:ind w:left="0" w:firstLine="0"/>
              <w:jc w:val="center"/>
              <w:rPr>
                <w:rFonts w:hint="eastAsia" w:ascii="宋体" w:hAnsi="宋体" w:eastAsia="宋体" w:cs="宋体"/>
                <w:snapToGrid w:val="0"/>
                <w:kern w:val="0"/>
                <w:sz w:val="24"/>
                <w:highlight w:val="none"/>
                <w:lang w:eastAsia="zh-CN"/>
              </w:rPr>
            </w:pPr>
            <w:r>
              <w:rPr>
                <w:rFonts w:hint="eastAsia" w:ascii="宋体" w:hAnsi="宋体" w:eastAsia="宋体" w:cs="宋体"/>
                <w:snapToGrid w:val="0"/>
                <w:kern w:val="0"/>
                <w:sz w:val="24"/>
                <w:highlight w:val="none"/>
                <w:lang w:eastAsia="zh-CN"/>
              </w:rPr>
              <w:t>消防控制室服务</w:t>
            </w:r>
          </w:p>
        </w:tc>
        <w:tc>
          <w:tcPr>
            <w:tcW w:w="1145" w:type="dxa"/>
            <w:noWrap w:val="0"/>
            <w:vAlign w:val="center"/>
          </w:tcPr>
          <w:p w14:paraId="238F1731">
            <w:pPr>
              <w:jc w:val="center"/>
              <w:rPr>
                <w:rFonts w:hint="eastAsia" w:ascii="宋体" w:hAnsi="宋体" w:eastAsia="宋体" w:cs="宋体"/>
                <w:sz w:val="24"/>
                <w:highlight w:val="none"/>
                <w:lang w:eastAsia="zh-CN"/>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宗</w:t>
            </w:r>
          </w:p>
        </w:tc>
        <w:tc>
          <w:tcPr>
            <w:tcW w:w="1785" w:type="dxa"/>
            <w:noWrap w:val="0"/>
            <w:vAlign w:val="center"/>
          </w:tcPr>
          <w:p w14:paraId="2B4F1550">
            <w:pPr>
              <w:widowControl/>
              <w:spacing w:line="330" w:lineRule="atLeast"/>
              <w:jc w:val="center"/>
              <w:rPr>
                <w:rFonts w:hint="eastAsia" w:ascii="宋体" w:hAnsi="宋体" w:cs="宋体"/>
                <w:sz w:val="24"/>
                <w:highlight w:val="none"/>
                <w:lang w:eastAsia="zh-CN"/>
              </w:rPr>
            </w:pPr>
            <w:r>
              <w:rPr>
                <w:rFonts w:hint="eastAsia" w:ascii="宋体" w:hAnsi="宋体" w:cs="宋体"/>
                <w:sz w:val="24"/>
                <w:highlight w:val="none"/>
              </w:rPr>
              <w:t>详见招标文件</w:t>
            </w:r>
          </w:p>
        </w:tc>
        <w:tc>
          <w:tcPr>
            <w:tcW w:w="1991" w:type="dxa"/>
            <w:noWrap w:val="0"/>
            <w:vAlign w:val="center"/>
          </w:tcPr>
          <w:p w14:paraId="10AE6590">
            <w:pPr>
              <w:widowControl/>
              <w:spacing w:line="330" w:lineRule="atLeast"/>
              <w:jc w:val="center"/>
              <w:rPr>
                <w:rFonts w:hint="default" w:ascii="宋体" w:hAnsi="宋体" w:eastAsia="宋体" w:cs="宋体"/>
                <w:snapToGrid w:val="0"/>
                <w:kern w:val="0"/>
                <w:sz w:val="24"/>
                <w:highlight w:val="none"/>
                <w:lang w:val="en-US" w:eastAsia="zh-CN"/>
              </w:rPr>
            </w:pPr>
            <w:r>
              <w:rPr>
                <w:rFonts w:hint="eastAsia" w:ascii="宋体" w:hAnsi="宋体" w:cs="宋体"/>
                <w:snapToGrid w:val="0"/>
                <w:kern w:val="0"/>
                <w:sz w:val="24"/>
                <w:highlight w:val="none"/>
                <w:lang w:val="en-US" w:eastAsia="zh-CN"/>
              </w:rPr>
              <w:t>19.2</w:t>
            </w:r>
          </w:p>
        </w:tc>
        <w:tc>
          <w:tcPr>
            <w:tcW w:w="1909" w:type="dxa"/>
            <w:noWrap w:val="0"/>
            <w:vAlign w:val="center"/>
          </w:tcPr>
          <w:p w14:paraId="48291A49">
            <w:pPr>
              <w:widowControl/>
              <w:spacing w:line="330" w:lineRule="atLeast"/>
              <w:jc w:val="center"/>
              <w:rPr>
                <w:rFonts w:hint="eastAsia" w:ascii="宋体" w:hAnsi="宋体" w:cs="宋体"/>
                <w:snapToGrid w:val="0"/>
                <w:kern w:val="0"/>
                <w:sz w:val="24"/>
                <w:highlight w:val="none"/>
              </w:rPr>
            </w:pPr>
            <w:r>
              <w:rPr>
                <w:rFonts w:hint="eastAsia" w:ascii="宋体" w:hAnsi="宋体" w:cs="宋体"/>
                <w:snapToGrid w:val="0"/>
                <w:kern w:val="0"/>
                <w:sz w:val="24"/>
                <w:highlight w:val="none"/>
              </w:rPr>
              <w:t>19.2</w:t>
            </w:r>
          </w:p>
        </w:tc>
      </w:tr>
    </w:tbl>
    <w:p w14:paraId="707152E9">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合同履行期限：自本项目合同签订之日起</w:t>
      </w:r>
      <w:r>
        <w:rPr>
          <w:rFonts w:hint="eastAsia" w:ascii="宋体" w:hAnsi="宋体" w:cs="宋体"/>
          <w:sz w:val="24"/>
          <w:highlight w:val="none"/>
          <w:lang w:val="en-US" w:eastAsia="zh-CN"/>
        </w:rPr>
        <w:t>1年</w:t>
      </w:r>
      <w:r>
        <w:rPr>
          <w:rFonts w:hint="eastAsia" w:ascii="宋体" w:hAnsi="宋体" w:cs="宋体"/>
          <w:sz w:val="24"/>
          <w:highlight w:val="none"/>
        </w:rPr>
        <w:t>。</w:t>
      </w:r>
    </w:p>
    <w:p w14:paraId="2693EB84">
      <w:pPr>
        <w:spacing w:line="360" w:lineRule="auto"/>
        <w:ind w:firstLine="482" w:firstLineChars="200"/>
        <w:rPr>
          <w:rFonts w:hint="default" w:ascii="宋体" w:hAnsi="宋体" w:eastAsia="宋体" w:cs="宋体"/>
          <w:b/>
          <w:bCs/>
          <w:sz w:val="24"/>
          <w:highlight w:val="none"/>
          <w:lang w:val="en-US" w:eastAsia="zh-CN"/>
        </w:rPr>
      </w:pPr>
      <w:r>
        <w:rPr>
          <w:rFonts w:hint="eastAsia" w:ascii="宋体" w:hAnsi="宋体" w:cs="宋体"/>
          <w:b/>
          <w:bCs/>
          <w:sz w:val="24"/>
          <w:highlight w:val="none"/>
          <w:lang w:val="en-US" w:eastAsia="zh-CN"/>
        </w:rPr>
        <w:t>本项目A包、B包兼投不兼中。</w:t>
      </w:r>
    </w:p>
    <w:p w14:paraId="77C117B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本项目不接受联合体投标。</w:t>
      </w:r>
    </w:p>
    <w:p w14:paraId="4F56B5CE">
      <w:pPr>
        <w:spacing w:line="360" w:lineRule="auto"/>
        <w:rPr>
          <w:rFonts w:hint="eastAsia" w:ascii="宋体" w:hAnsi="宋体" w:cs="宋体"/>
          <w:b/>
          <w:bCs/>
          <w:sz w:val="24"/>
          <w:highlight w:val="none"/>
        </w:rPr>
      </w:pPr>
      <w:bookmarkStart w:id="6" w:name="_Toc28359080"/>
      <w:bookmarkStart w:id="7" w:name="_Toc35393622"/>
      <w:bookmarkStart w:id="8" w:name="_Toc35393791"/>
      <w:bookmarkStart w:id="9" w:name="_Toc28359003"/>
      <w:r>
        <w:rPr>
          <w:rFonts w:hint="eastAsia" w:ascii="宋体" w:hAnsi="宋体" w:cs="宋体"/>
          <w:b/>
          <w:bCs/>
          <w:sz w:val="24"/>
          <w:highlight w:val="none"/>
        </w:rPr>
        <w:t>二、申请人的资格要求：</w:t>
      </w:r>
      <w:bookmarkEnd w:id="6"/>
      <w:bookmarkEnd w:id="7"/>
      <w:bookmarkEnd w:id="8"/>
      <w:bookmarkEnd w:id="9"/>
    </w:p>
    <w:p w14:paraId="5EAE435B">
      <w:pPr>
        <w:spacing w:line="360" w:lineRule="auto"/>
        <w:ind w:firstLine="480" w:firstLineChars="200"/>
        <w:rPr>
          <w:rFonts w:hint="eastAsia" w:ascii="宋体" w:hAnsi="宋体" w:cs="宋体"/>
          <w:sz w:val="24"/>
          <w:highlight w:val="none"/>
        </w:rPr>
      </w:pPr>
      <w:bookmarkStart w:id="10" w:name="_Toc28359081"/>
      <w:bookmarkStart w:id="11" w:name="_Toc28359004"/>
      <w:r>
        <w:rPr>
          <w:rFonts w:hint="eastAsia" w:ascii="宋体" w:hAnsi="宋体" w:cs="宋体"/>
          <w:sz w:val="24"/>
          <w:highlight w:val="none"/>
        </w:rPr>
        <w:t>1.满足《中华人民共和国政府采购法》第二十二条规定；</w:t>
      </w:r>
    </w:p>
    <w:p w14:paraId="0E0E2F3B">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2.落实政府采购政策需满足的资格要求：</w:t>
      </w:r>
    </w:p>
    <w:p w14:paraId="5F7D80A4">
      <w:pPr>
        <w:spacing w:line="360" w:lineRule="auto"/>
        <w:ind w:firstLine="482" w:firstLineChars="200"/>
        <w:rPr>
          <w:rFonts w:hint="eastAsia" w:ascii="宋体" w:hAnsi="宋体" w:cs="宋体"/>
          <w:b/>
          <w:bCs/>
          <w:sz w:val="24"/>
          <w:highlight w:val="none"/>
        </w:rPr>
      </w:pPr>
      <w:r>
        <w:rPr>
          <w:rFonts w:hint="eastAsia" w:ascii="宋体" w:hAnsi="宋体" w:cs="宋体"/>
          <w:b/>
          <w:bCs/>
          <w:sz w:val="24"/>
          <w:highlight w:val="none"/>
          <w:lang w:val="en-US" w:eastAsia="zh-CN"/>
        </w:rPr>
        <w:t>无</w:t>
      </w:r>
      <w:r>
        <w:rPr>
          <w:rFonts w:hint="eastAsia" w:ascii="宋体" w:hAnsi="宋体" w:cs="宋体"/>
          <w:b/>
          <w:bCs/>
          <w:sz w:val="24"/>
          <w:highlight w:val="none"/>
        </w:rPr>
        <w:t>；</w:t>
      </w:r>
    </w:p>
    <w:p w14:paraId="4944A8D2">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3.本项目的特定资格要求：</w:t>
      </w:r>
    </w:p>
    <w:p w14:paraId="0C85E7A2">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1）在“信用中国”、“中国政府采购网”、“信用山东”网站中被列入失信被执行人、重大税收违法案件当事人名单、政府采购严重违法失信行为记录名单的供应商，不得参加本次政府采购活动；</w:t>
      </w:r>
    </w:p>
    <w:p w14:paraId="2D4F2CE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2）单位负责人为同一人或者存在直接控股、管理关系的不同供应商，不得参加同一合同项下（同一包号）的政府采购活动；</w:t>
      </w:r>
    </w:p>
    <w:p w14:paraId="5F9E4A6D">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宋体" w:hAnsi="宋体" w:cs="宋体"/>
          <w:sz w:val="24"/>
          <w:highlight w:val="none"/>
        </w:rPr>
      </w:pPr>
      <w:r>
        <w:rPr>
          <w:rFonts w:hint="eastAsia" w:ascii="宋体" w:hAnsi="宋体" w:cs="宋体"/>
          <w:sz w:val="24"/>
          <w:highlight w:val="none"/>
        </w:rPr>
        <w:t>3）为采购项目提供过整体设计、规范编制或者项目管理、监理、检测等服务的供应商及其附属机构，不得再参加该采购项目的其他采购活动；</w:t>
      </w:r>
    </w:p>
    <w:p w14:paraId="0628615E">
      <w:pPr>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default" w:ascii="宋体" w:hAnsi="宋体" w:eastAsia="宋体" w:cs="宋体"/>
          <w:b/>
          <w:bCs/>
          <w:sz w:val="24"/>
          <w:highlight w:val="none"/>
          <w:lang w:val="en-US" w:eastAsia="zh-CN"/>
        </w:rPr>
      </w:pPr>
      <w:r>
        <w:rPr>
          <w:rFonts w:hint="eastAsia" w:ascii="宋体" w:hAnsi="宋体" w:cs="宋体"/>
          <w:b/>
          <w:bCs/>
          <w:sz w:val="24"/>
          <w:highlight w:val="none"/>
          <w:lang w:val="en-US" w:eastAsia="zh-CN"/>
        </w:rPr>
        <w:t>4）参与B包的供应商须符合应急管理部关于印发《消防技术服务机构从业条件》规定，在社会消防技术服务信息系统中依规登记备案。</w:t>
      </w:r>
    </w:p>
    <w:p w14:paraId="42E272AA">
      <w:pPr>
        <w:keepNext w:val="0"/>
        <w:keepLines w:val="0"/>
        <w:pageBreakBefore w:val="0"/>
        <w:kinsoku/>
        <w:wordWrap/>
        <w:overflowPunct/>
        <w:topLinePunct w:val="0"/>
        <w:autoSpaceDE/>
        <w:autoSpaceDN/>
        <w:bidi w:val="0"/>
        <w:spacing w:line="360" w:lineRule="auto"/>
        <w:textAlignment w:val="auto"/>
        <w:rPr>
          <w:rFonts w:hint="eastAsia" w:ascii="宋体" w:hAnsi="宋体" w:cs="宋体"/>
          <w:b/>
          <w:bCs/>
          <w:sz w:val="24"/>
          <w:highlight w:val="none"/>
        </w:rPr>
      </w:pPr>
      <w:bookmarkStart w:id="12" w:name="_Toc35393623"/>
      <w:bookmarkStart w:id="13" w:name="_Toc35393792"/>
      <w:r>
        <w:rPr>
          <w:rFonts w:hint="eastAsia" w:ascii="宋体" w:hAnsi="宋体" w:cs="宋体"/>
          <w:b/>
          <w:bCs/>
          <w:sz w:val="24"/>
          <w:highlight w:val="none"/>
        </w:rPr>
        <w:t>三、获取招标文件</w:t>
      </w:r>
      <w:bookmarkEnd w:id="10"/>
      <w:bookmarkEnd w:id="11"/>
      <w:bookmarkEnd w:id="12"/>
      <w:bookmarkEnd w:id="13"/>
    </w:p>
    <w:p w14:paraId="751B0AAA">
      <w:pPr>
        <w:spacing w:line="360" w:lineRule="auto"/>
        <w:ind w:firstLine="480" w:firstLineChars="200"/>
        <w:rPr>
          <w:rFonts w:ascii="宋体" w:hAnsi="宋体" w:cs="宋体"/>
          <w:sz w:val="24"/>
          <w:highlight w:val="none"/>
        </w:rPr>
      </w:pPr>
      <w:r>
        <w:rPr>
          <w:rFonts w:hint="eastAsia" w:ascii="宋体" w:hAnsi="宋体" w:cs="宋体"/>
          <w:sz w:val="24"/>
          <w:highlight w:val="none"/>
        </w:rPr>
        <w:t>1、时间：202</w:t>
      </w:r>
      <w:r>
        <w:rPr>
          <w:rFonts w:hint="eastAsia" w:ascii="宋体" w:hAnsi="宋体" w:cs="宋体"/>
          <w:sz w:val="24"/>
          <w:highlight w:val="none"/>
          <w:lang w:val="en-US" w:eastAsia="zh-CN"/>
        </w:rPr>
        <w:t>5</w:t>
      </w:r>
      <w:r>
        <w:rPr>
          <w:rFonts w:hint="eastAsia" w:ascii="宋体" w:hAnsi="宋体" w:cs="宋体"/>
          <w:sz w:val="24"/>
          <w:highlight w:val="none"/>
        </w:rPr>
        <w:t>年</w:t>
      </w:r>
      <w:r>
        <w:rPr>
          <w:rFonts w:hint="eastAsia" w:ascii="宋体" w:hAnsi="宋体" w:cs="宋体"/>
          <w:sz w:val="24"/>
          <w:highlight w:val="none"/>
          <w:lang w:val="en-US" w:eastAsia="zh-CN"/>
        </w:rPr>
        <w:t>02</w:t>
      </w:r>
      <w:r>
        <w:rPr>
          <w:rFonts w:hint="eastAsia" w:ascii="宋体" w:hAnsi="宋体" w:cs="宋体"/>
          <w:sz w:val="24"/>
          <w:highlight w:val="none"/>
        </w:rPr>
        <w:t>月</w:t>
      </w:r>
      <w:r>
        <w:rPr>
          <w:rFonts w:hint="eastAsia" w:ascii="宋体" w:hAnsi="宋体" w:cs="宋体"/>
          <w:sz w:val="24"/>
          <w:highlight w:val="none"/>
          <w:lang w:val="en-US" w:eastAsia="zh-CN"/>
        </w:rPr>
        <w:t>25</w:t>
      </w:r>
      <w:r>
        <w:rPr>
          <w:rFonts w:hint="eastAsia" w:ascii="宋体" w:hAnsi="宋体" w:cs="宋体"/>
          <w:sz w:val="24"/>
          <w:highlight w:val="none"/>
        </w:rPr>
        <w:t>日至202</w:t>
      </w:r>
      <w:r>
        <w:rPr>
          <w:rFonts w:hint="eastAsia" w:ascii="宋体" w:hAnsi="宋体" w:cs="宋体"/>
          <w:sz w:val="24"/>
          <w:highlight w:val="none"/>
          <w:lang w:val="en-US" w:eastAsia="zh-CN"/>
        </w:rPr>
        <w:t>5</w:t>
      </w:r>
      <w:r>
        <w:rPr>
          <w:rFonts w:hint="eastAsia" w:ascii="宋体" w:hAnsi="宋体" w:cs="宋体"/>
          <w:sz w:val="24"/>
          <w:highlight w:val="none"/>
        </w:rPr>
        <w:t>年</w:t>
      </w:r>
      <w:r>
        <w:rPr>
          <w:rFonts w:hint="eastAsia" w:ascii="宋体" w:hAnsi="宋体" w:cs="宋体"/>
          <w:sz w:val="24"/>
          <w:highlight w:val="none"/>
          <w:lang w:val="en-US" w:eastAsia="zh-CN"/>
        </w:rPr>
        <w:t>03</w:t>
      </w:r>
      <w:r>
        <w:rPr>
          <w:rFonts w:hint="eastAsia" w:ascii="宋体" w:hAnsi="宋体" w:cs="宋体"/>
          <w:sz w:val="24"/>
          <w:highlight w:val="none"/>
        </w:rPr>
        <w:t>月</w:t>
      </w:r>
      <w:r>
        <w:rPr>
          <w:rFonts w:hint="eastAsia" w:ascii="宋体" w:hAnsi="宋体" w:cs="宋体"/>
          <w:sz w:val="24"/>
          <w:highlight w:val="none"/>
          <w:lang w:val="en-US" w:eastAsia="zh-CN"/>
        </w:rPr>
        <w:t>03</w:t>
      </w:r>
      <w:r>
        <w:rPr>
          <w:rFonts w:hint="eastAsia" w:ascii="宋体" w:hAnsi="宋体" w:cs="宋体"/>
          <w:sz w:val="24"/>
          <w:highlight w:val="none"/>
        </w:rPr>
        <w:t>日</w:t>
      </w:r>
    </w:p>
    <w:p w14:paraId="2517351E">
      <w:pPr>
        <w:spacing w:line="360" w:lineRule="auto"/>
        <w:ind w:firstLine="480" w:firstLineChars="200"/>
        <w:rPr>
          <w:rFonts w:ascii="宋体" w:hAnsi="宋体" w:cs="宋体"/>
          <w:sz w:val="24"/>
          <w:highlight w:val="none"/>
        </w:rPr>
      </w:pPr>
      <w:r>
        <w:rPr>
          <w:rFonts w:hint="eastAsia" w:ascii="宋体" w:hAnsi="宋体" w:cs="宋体"/>
          <w:sz w:val="24"/>
          <w:highlight w:val="none"/>
        </w:rPr>
        <w:t>2、地点：泰安市公共资源交易中心网站；</w:t>
      </w:r>
    </w:p>
    <w:p w14:paraId="1C431FF4">
      <w:pPr>
        <w:spacing w:line="360" w:lineRule="auto"/>
        <w:ind w:firstLine="480" w:firstLineChars="200"/>
        <w:rPr>
          <w:rFonts w:ascii="宋体" w:hAnsi="宋体" w:cs="宋体"/>
          <w:sz w:val="24"/>
          <w:highlight w:val="none"/>
        </w:rPr>
      </w:pPr>
      <w:r>
        <w:rPr>
          <w:rFonts w:hint="eastAsia" w:ascii="宋体" w:hAnsi="宋体" w:cs="宋体"/>
          <w:sz w:val="24"/>
          <w:highlight w:val="none"/>
        </w:rPr>
        <w:t>3、获取方式：凡有意参加投标者，请在本招标公告期限内在“泰安市公共资源交易中心”（网址：www.taggzyjy.com.cn）上下载招标文件。</w:t>
      </w:r>
    </w:p>
    <w:p w14:paraId="239305E7">
      <w:pPr>
        <w:spacing w:line="360" w:lineRule="auto"/>
        <w:ind w:firstLine="480" w:firstLineChars="200"/>
        <w:rPr>
          <w:rFonts w:ascii="宋体" w:hAnsi="宋体" w:cs="宋体"/>
          <w:sz w:val="24"/>
          <w:highlight w:val="none"/>
        </w:rPr>
      </w:pPr>
      <w:r>
        <w:rPr>
          <w:rFonts w:hint="eastAsia" w:ascii="宋体" w:hAnsi="宋体" w:cs="宋体"/>
          <w:sz w:val="24"/>
          <w:highlight w:val="none"/>
        </w:rPr>
        <w:t>4、方式：本项目实行全流程电子化招投标，投标人须办理 CA 数字证书，办理要求详见泰安市公共资源交易中心网站首页右侧“CA办理”工具栏，网址链接：http://www.taggzyjy.com.cn/ca_apply/ca_apply.html。因未及时注册主体库信息或未办理 CA数字证书导致无法投标的,责任自负。CA数字证书办理咨询电话：0538-6288116；移动CA锁（鲁证通）办理咨询电话：400-998-0000。窗口综合服务电话0538-6288136。已办理且在有效期内的可直接登录系统。</w:t>
      </w:r>
    </w:p>
    <w:p w14:paraId="2204FF17">
      <w:pPr>
        <w:spacing w:line="360" w:lineRule="auto"/>
        <w:ind w:firstLine="480" w:firstLineChars="200"/>
        <w:rPr>
          <w:rFonts w:ascii="宋体" w:hAnsi="宋体" w:cs="宋体"/>
          <w:sz w:val="24"/>
          <w:highlight w:val="none"/>
        </w:rPr>
      </w:pPr>
      <w:r>
        <w:rPr>
          <w:rFonts w:hint="eastAsia" w:ascii="宋体" w:hAnsi="宋体" w:cs="宋体"/>
          <w:sz w:val="24"/>
          <w:highlight w:val="none"/>
        </w:rPr>
        <w:t>注：1、本项目实行资格后审，获取招标文件成功不代表资格后审的通过。</w:t>
      </w:r>
    </w:p>
    <w:p w14:paraId="7B5358E1">
      <w:pPr>
        <w:spacing w:line="360" w:lineRule="auto"/>
        <w:ind w:firstLine="480" w:firstLineChars="200"/>
        <w:rPr>
          <w:rFonts w:ascii="宋体" w:hAnsi="宋体"/>
          <w:highlight w:val="none"/>
        </w:rPr>
      </w:pPr>
      <w:r>
        <w:rPr>
          <w:rFonts w:hint="eastAsia" w:ascii="宋体" w:hAnsi="宋体" w:cs="宋体"/>
          <w:sz w:val="24"/>
          <w:highlight w:val="none"/>
        </w:rPr>
        <w:t>2、本采购项目的变更、修改、澄清等内容均在“泰安市公共资源交易中心官网”发布。相关内容一经在“泰安市公共资源交易中心官网”发布，视作已发放给所有潜在供应商。各潜在供应商应随时关注并及时自行查阅网站信息，未按要求查阅者自行承担相应后果。</w:t>
      </w:r>
    </w:p>
    <w:p w14:paraId="3C0EAA2C">
      <w:pPr>
        <w:spacing w:line="360" w:lineRule="auto"/>
        <w:rPr>
          <w:rFonts w:ascii="宋体" w:hAnsi="宋体" w:cs="宋体"/>
          <w:b/>
          <w:bCs/>
          <w:sz w:val="24"/>
          <w:highlight w:val="none"/>
        </w:rPr>
      </w:pPr>
      <w:bookmarkStart w:id="14" w:name="_Toc28359082"/>
      <w:bookmarkStart w:id="15" w:name="_Toc28359005"/>
      <w:bookmarkStart w:id="16" w:name="_Toc35393793"/>
      <w:bookmarkStart w:id="17" w:name="_Toc35393624"/>
      <w:r>
        <w:rPr>
          <w:rFonts w:hint="eastAsia" w:ascii="宋体" w:hAnsi="宋体" w:cs="宋体"/>
          <w:b/>
          <w:bCs/>
          <w:sz w:val="24"/>
          <w:highlight w:val="none"/>
        </w:rPr>
        <w:t>四、提交投标文件</w:t>
      </w:r>
      <w:bookmarkEnd w:id="14"/>
      <w:bookmarkEnd w:id="15"/>
      <w:bookmarkEnd w:id="16"/>
      <w:bookmarkEnd w:id="17"/>
    </w:p>
    <w:p w14:paraId="61E4DAAD">
      <w:pPr>
        <w:spacing w:line="360" w:lineRule="auto"/>
        <w:ind w:firstLine="480" w:firstLineChars="200"/>
        <w:rPr>
          <w:rFonts w:ascii="宋体" w:hAnsi="宋体" w:cs="宋体"/>
          <w:bCs/>
          <w:sz w:val="24"/>
          <w:highlight w:val="none"/>
        </w:rPr>
      </w:pPr>
      <w:r>
        <w:rPr>
          <w:rFonts w:hint="eastAsia" w:ascii="宋体" w:hAnsi="宋体" w:cs="宋体"/>
          <w:bCs/>
          <w:sz w:val="24"/>
          <w:highlight w:val="none"/>
        </w:rPr>
        <w:t>时间：202</w:t>
      </w:r>
      <w:r>
        <w:rPr>
          <w:rFonts w:hint="eastAsia" w:ascii="宋体" w:hAnsi="宋体" w:cs="宋体"/>
          <w:bCs/>
          <w:sz w:val="24"/>
          <w:highlight w:val="none"/>
          <w:lang w:val="en-US" w:eastAsia="zh-CN"/>
        </w:rPr>
        <w:t>5</w:t>
      </w:r>
      <w:r>
        <w:rPr>
          <w:rFonts w:hint="eastAsia" w:ascii="宋体" w:hAnsi="宋体" w:cs="宋体"/>
          <w:bCs/>
          <w:sz w:val="24"/>
          <w:highlight w:val="none"/>
        </w:rPr>
        <w:t>年</w:t>
      </w:r>
      <w:r>
        <w:rPr>
          <w:rFonts w:hint="eastAsia" w:ascii="宋体" w:hAnsi="宋体" w:cs="宋体"/>
          <w:bCs/>
          <w:sz w:val="24"/>
          <w:highlight w:val="none"/>
          <w:lang w:val="en-US" w:eastAsia="zh-CN"/>
        </w:rPr>
        <w:t>03</w:t>
      </w:r>
      <w:r>
        <w:rPr>
          <w:rFonts w:hint="eastAsia" w:ascii="宋体" w:hAnsi="宋体" w:cs="宋体"/>
          <w:bCs/>
          <w:sz w:val="24"/>
          <w:highlight w:val="none"/>
        </w:rPr>
        <w:t>月</w:t>
      </w:r>
      <w:r>
        <w:rPr>
          <w:rFonts w:hint="eastAsia" w:ascii="宋体" w:hAnsi="宋体" w:cs="宋体"/>
          <w:bCs/>
          <w:sz w:val="24"/>
          <w:highlight w:val="none"/>
          <w:lang w:val="en-US" w:eastAsia="zh-CN"/>
        </w:rPr>
        <w:t>18</w:t>
      </w:r>
      <w:r>
        <w:rPr>
          <w:rFonts w:hint="eastAsia" w:ascii="宋体" w:hAnsi="宋体" w:cs="宋体"/>
          <w:bCs/>
          <w:sz w:val="24"/>
          <w:highlight w:val="none"/>
        </w:rPr>
        <w:t>日9</w:t>
      </w:r>
      <w:r>
        <w:rPr>
          <w:rFonts w:hint="eastAsia" w:ascii="宋体" w:hAnsi="宋体" w:cs="宋体"/>
          <w:bCs/>
          <w:sz w:val="24"/>
          <w:highlight w:val="none"/>
          <w:lang w:val="en-US" w:eastAsia="zh-CN"/>
        </w:rPr>
        <w:t>时0</w:t>
      </w:r>
      <w:r>
        <w:rPr>
          <w:rFonts w:hint="eastAsia" w:ascii="宋体" w:hAnsi="宋体" w:cs="宋体"/>
          <w:bCs/>
          <w:sz w:val="24"/>
          <w:highlight w:val="none"/>
        </w:rPr>
        <w:t>0分（北京时间）</w:t>
      </w:r>
    </w:p>
    <w:p w14:paraId="1DB5979F">
      <w:pPr>
        <w:spacing w:line="360" w:lineRule="auto"/>
        <w:ind w:firstLine="480" w:firstLineChars="200"/>
        <w:rPr>
          <w:rFonts w:ascii="宋体" w:hAnsi="宋体" w:cs="宋体"/>
          <w:bCs/>
          <w:color w:val="FF0000"/>
          <w:sz w:val="24"/>
          <w:highlight w:val="none"/>
          <w:u w:val="single"/>
        </w:rPr>
      </w:pPr>
      <w:r>
        <w:rPr>
          <w:rFonts w:hint="eastAsia" w:ascii="宋体" w:hAnsi="宋体" w:cs="宋体"/>
          <w:sz w:val="24"/>
          <w:highlight w:val="none"/>
        </w:rPr>
        <w:t>地点：泰安市公共资源交易中心官网。本项目实行网上电子投标、不见面网上开标、网上评标，投标人无需到达开标现场解密，需登录泰安市公共资源不见面开标系统进行远程解密投标文件，若因投标人操作导致的投标文件无法成功解密，后果自负。相关资料操作手册在泰安市公共资源交易网-精细化服务，按照交易主体性质点击进入不同的栏目下载对应的操作手册。</w:t>
      </w:r>
    </w:p>
    <w:p w14:paraId="09ECAC19">
      <w:pPr>
        <w:spacing w:line="360" w:lineRule="auto"/>
        <w:rPr>
          <w:rFonts w:ascii="宋体" w:hAnsi="宋体" w:cs="宋体"/>
          <w:b/>
          <w:bCs/>
          <w:sz w:val="24"/>
          <w:highlight w:val="none"/>
        </w:rPr>
      </w:pPr>
      <w:bookmarkStart w:id="18" w:name="_Toc28359007"/>
      <w:bookmarkStart w:id="19" w:name="_Toc28359084"/>
      <w:bookmarkStart w:id="20" w:name="_Toc35393625"/>
      <w:bookmarkStart w:id="21" w:name="_Toc35393794"/>
      <w:r>
        <w:rPr>
          <w:rFonts w:hint="eastAsia" w:ascii="宋体" w:hAnsi="宋体" w:cs="宋体"/>
          <w:b/>
          <w:bCs/>
          <w:sz w:val="24"/>
          <w:highlight w:val="none"/>
        </w:rPr>
        <w:t>五、公告期限</w:t>
      </w:r>
      <w:bookmarkEnd w:id="18"/>
      <w:bookmarkEnd w:id="19"/>
      <w:bookmarkEnd w:id="20"/>
      <w:bookmarkEnd w:id="21"/>
    </w:p>
    <w:p w14:paraId="75D6ECD9">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自本公告发布之日起5个工作日。</w:t>
      </w:r>
    </w:p>
    <w:p w14:paraId="7E1B7A29">
      <w:pPr>
        <w:spacing w:line="360" w:lineRule="auto"/>
        <w:rPr>
          <w:rFonts w:ascii="宋体" w:hAnsi="宋体" w:cs="宋体"/>
          <w:b/>
          <w:bCs/>
          <w:sz w:val="24"/>
          <w:highlight w:val="none"/>
        </w:rPr>
      </w:pPr>
      <w:bookmarkStart w:id="22" w:name="_Toc35393795"/>
      <w:bookmarkStart w:id="23" w:name="_Toc35393626"/>
      <w:r>
        <w:rPr>
          <w:rFonts w:hint="eastAsia" w:ascii="宋体" w:hAnsi="宋体" w:cs="宋体"/>
          <w:b/>
          <w:bCs/>
          <w:sz w:val="24"/>
          <w:highlight w:val="none"/>
        </w:rPr>
        <w:t>六、其他补充事宜</w:t>
      </w:r>
      <w:bookmarkEnd w:id="22"/>
      <w:bookmarkEnd w:id="23"/>
    </w:p>
    <w:p w14:paraId="1A4709E9">
      <w:pPr>
        <w:tabs>
          <w:tab w:val="left" w:pos="9741"/>
        </w:tabs>
        <w:spacing w:line="360" w:lineRule="auto"/>
        <w:ind w:firstLine="482" w:firstLineChars="200"/>
        <w:rPr>
          <w:rFonts w:ascii="宋体" w:hAnsi="宋体" w:cs="宋体"/>
          <w:b/>
          <w:bCs/>
          <w:snapToGrid w:val="0"/>
          <w:kern w:val="0"/>
          <w:sz w:val="24"/>
          <w:highlight w:val="none"/>
        </w:rPr>
      </w:pPr>
      <w:r>
        <w:rPr>
          <w:rFonts w:hint="eastAsia" w:ascii="宋体" w:hAnsi="宋体" w:cs="宋体"/>
          <w:b/>
          <w:bCs/>
          <w:snapToGrid w:val="0"/>
          <w:kern w:val="0"/>
          <w:sz w:val="24"/>
          <w:highlight w:val="none"/>
        </w:rPr>
        <w:t>（一）采购项目需要落实的政府采购政策</w:t>
      </w:r>
    </w:p>
    <w:p w14:paraId="690E3F36">
      <w:pPr>
        <w:tabs>
          <w:tab w:val="left" w:pos="9741"/>
        </w:tabs>
        <w:spacing w:line="360" w:lineRule="auto"/>
        <w:ind w:firstLine="480" w:firstLineChars="200"/>
        <w:rPr>
          <w:rFonts w:ascii="宋体" w:hAnsi="宋体" w:cs="宋体"/>
          <w:snapToGrid w:val="0"/>
          <w:kern w:val="0"/>
          <w:sz w:val="24"/>
          <w:highlight w:val="none"/>
        </w:rPr>
      </w:pPr>
      <w:r>
        <w:rPr>
          <w:rFonts w:hint="eastAsia" w:ascii="宋体" w:hAnsi="宋体" w:cs="宋体"/>
          <w:snapToGrid w:val="0"/>
          <w:kern w:val="0"/>
          <w:sz w:val="24"/>
          <w:highlight w:val="none"/>
        </w:rPr>
        <w:t>1、中小微型企业政府采购政策：</w:t>
      </w:r>
    </w:p>
    <w:p w14:paraId="1CCB4CF9">
      <w:pPr>
        <w:tabs>
          <w:tab w:val="left" w:pos="9741"/>
        </w:tabs>
        <w:spacing w:line="360" w:lineRule="auto"/>
        <w:ind w:firstLine="480" w:firstLineChars="200"/>
        <w:rPr>
          <w:rFonts w:ascii="宋体" w:hAnsi="宋体" w:cs="宋体"/>
          <w:snapToGrid w:val="0"/>
          <w:kern w:val="0"/>
          <w:sz w:val="24"/>
          <w:highlight w:val="none"/>
        </w:rPr>
      </w:pPr>
      <w:r>
        <w:rPr>
          <w:rFonts w:hint="eastAsia" w:ascii="宋体" w:hAnsi="宋体" w:cs="宋体"/>
          <w:snapToGrid w:val="0"/>
          <w:kern w:val="0"/>
          <w:sz w:val="24"/>
          <w:highlight w:val="none"/>
        </w:rPr>
        <w:t>2、监狱企业政府采购政策</w:t>
      </w:r>
    </w:p>
    <w:p w14:paraId="4C71D409">
      <w:pPr>
        <w:tabs>
          <w:tab w:val="left" w:pos="9741"/>
        </w:tabs>
        <w:spacing w:line="360" w:lineRule="auto"/>
        <w:ind w:firstLine="480" w:firstLineChars="200"/>
        <w:rPr>
          <w:rFonts w:ascii="宋体" w:hAnsi="宋体" w:cs="宋体"/>
          <w:snapToGrid w:val="0"/>
          <w:kern w:val="0"/>
          <w:sz w:val="24"/>
          <w:highlight w:val="none"/>
        </w:rPr>
      </w:pPr>
      <w:r>
        <w:rPr>
          <w:rFonts w:hint="eastAsia" w:ascii="宋体" w:hAnsi="宋体" w:cs="宋体"/>
          <w:snapToGrid w:val="0"/>
          <w:kern w:val="0"/>
          <w:sz w:val="24"/>
          <w:highlight w:val="none"/>
        </w:rPr>
        <w:t>3、促进残疾人就业政府采购政策</w:t>
      </w:r>
    </w:p>
    <w:p w14:paraId="2BAACD26">
      <w:pPr>
        <w:tabs>
          <w:tab w:val="left" w:pos="9741"/>
        </w:tabs>
        <w:spacing w:line="360" w:lineRule="auto"/>
        <w:ind w:firstLine="480" w:firstLineChars="200"/>
        <w:rPr>
          <w:rFonts w:ascii="宋体" w:hAnsi="宋体" w:cs="宋体"/>
          <w:snapToGrid w:val="0"/>
          <w:kern w:val="0"/>
          <w:sz w:val="24"/>
          <w:highlight w:val="none"/>
        </w:rPr>
      </w:pPr>
      <w:r>
        <w:rPr>
          <w:rFonts w:hint="eastAsia" w:ascii="宋体" w:hAnsi="宋体" w:cs="宋体"/>
          <w:snapToGrid w:val="0"/>
          <w:kern w:val="0"/>
          <w:sz w:val="24"/>
          <w:highlight w:val="none"/>
        </w:rPr>
        <w:t>4、节能、环保产品政府采购政策</w:t>
      </w:r>
    </w:p>
    <w:p w14:paraId="4BC41922">
      <w:pPr>
        <w:pStyle w:val="271"/>
        <w:spacing w:line="360" w:lineRule="auto"/>
        <w:ind w:firstLine="480"/>
        <w:rPr>
          <w:rFonts w:ascii="宋体" w:hAnsi="宋体" w:cs="宋体"/>
          <w:snapToGrid w:val="0"/>
          <w:kern w:val="0"/>
          <w:sz w:val="24"/>
          <w:highlight w:val="none"/>
        </w:rPr>
      </w:pPr>
      <w:r>
        <w:rPr>
          <w:rFonts w:hint="eastAsia" w:ascii="宋体" w:hAnsi="宋体" w:cs="宋体"/>
          <w:snapToGrid w:val="0"/>
          <w:kern w:val="0"/>
          <w:sz w:val="24"/>
          <w:highlight w:val="none"/>
        </w:rPr>
        <w:t>详见招标文件</w:t>
      </w:r>
    </w:p>
    <w:p w14:paraId="41CA866A">
      <w:pPr>
        <w:tabs>
          <w:tab w:val="left" w:pos="9741"/>
        </w:tabs>
        <w:spacing w:line="360" w:lineRule="auto"/>
        <w:ind w:firstLine="482" w:firstLineChars="200"/>
        <w:rPr>
          <w:rFonts w:ascii="宋体" w:hAnsi="宋体" w:cs="宋体"/>
          <w:b/>
          <w:bCs/>
          <w:snapToGrid w:val="0"/>
          <w:kern w:val="0"/>
          <w:sz w:val="24"/>
          <w:highlight w:val="none"/>
        </w:rPr>
      </w:pPr>
      <w:r>
        <w:rPr>
          <w:rFonts w:hint="eastAsia" w:ascii="宋体" w:hAnsi="宋体" w:cs="宋体"/>
          <w:b/>
          <w:bCs/>
          <w:snapToGrid w:val="0"/>
          <w:kern w:val="0"/>
          <w:sz w:val="24"/>
          <w:highlight w:val="none"/>
        </w:rPr>
        <w:t>（二）异议和投诉</w:t>
      </w:r>
    </w:p>
    <w:p w14:paraId="6B515502">
      <w:pPr>
        <w:pStyle w:val="271"/>
        <w:spacing w:line="360" w:lineRule="auto"/>
        <w:ind w:firstLine="480"/>
        <w:rPr>
          <w:rFonts w:ascii="宋体" w:hAnsi="宋体" w:cs="宋体"/>
          <w:snapToGrid w:val="0"/>
          <w:kern w:val="0"/>
          <w:sz w:val="24"/>
          <w:highlight w:val="none"/>
        </w:rPr>
      </w:pPr>
      <w:r>
        <w:rPr>
          <w:rFonts w:hint="eastAsia" w:ascii="宋体" w:hAnsi="宋体" w:cs="宋体"/>
          <w:snapToGrid w:val="0"/>
          <w:kern w:val="0"/>
          <w:sz w:val="24"/>
          <w:highlight w:val="none"/>
        </w:rPr>
        <w:t>线上异议（质疑）与投诉。依据泰公管联席办【2021】6号通知要求，投标人（供应商）在满足异议（质疑）与投诉条件下，可在线提出。</w:t>
      </w:r>
    </w:p>
    <w:p w14:paraId="528715D3">
      <w:pPr>
        <w:pStyle w:val="271"/>
        <w:spacing w:line="360" w:lineRule="auto"/>
        <w:ind w:firstLine="480"/>
        <w:rPr>
          <w:rFonts w:ascii="宋体" w:hAnsi="宋体" w:cs="宋体"/>
          <w:snapToGrid w:val="0"/>
          <w:kern w:val="0"/>
          <w:sz w:val="24"/>
          <w:highlight w:val="none"/>
        </w:rPr>
      </w:pPr>
      <w:r>
        <w:rPr>
          <w:rFonts w:hint="eastAsia" w:ascii="宋体" w:hAnsi="宋体" w:cs="宋体"/>
          <w:snapToGrid w:val="0"/>
          <w:kern w:val="0"/>
          <w:sz w:val="24"/>
          <w:highlight w:val="none"/>
        </w:rPr>
        <w:t>1、线上异议（质疑）。投标人（供应商）满足异议（质疑）可通过电子交易平台向招标（采购）人、代理机构提出异议（质疑）；异议（质疑）应符合本项目招标（采购）文件“异议（质疑）与投诉”章节有关要求；线上与书面异议（质疑）具有同等效力；出现线上线下同时提出时，招标（采购）人或代理机构应同时答复。</w:t>
      </w:r>
    </w:p>
    <w:p w14:paraId="3CA2F253">
      <w:pPr>
        <w:pStyle w:val="271"/>
        <w:spacing w:line="360" w:lineRule="auto"/>
        <w:ind w:firstLine="480"/>
        <w:rPr>
          <w:rFonts w:ascii="宋体" w:hAnsi="宋体" w:cs="宋体"/>
          <w:snapToGrid w:val="0"/>
          <w:kern w:val="0"/>
          <w:sz w:val="24"/>
          <w:highlight w:val="none"/>
        </w:rPr>
      </w:pPr>
      <w:r>
        <w:rPr>
          <w:rFonts w:hint="eastAsia" w:ascii="宋体" w:hAnsi="宋体" w:cs="宋体"/>
          <w:snapToGrid w:val="0"/>
          <w:kern w:val="0"/>
          <w:sz w:val="24"/>
          <w:highlight w:val="none"/>
        </w:rPr>
        <w:t>2、书面投诉。满足书面投诉条件的投诉主体向有管辖权的行政监督部门提出投诉。</w:t>
      </w:r>
    </w:p>
    <w:p w14:paraId="58A2168B">
      <w:pPr>
        <w:pStyle w:val="271"/>
        <w:spacing w:line="360" w:lineRule="auto"/>
        <w:ind w:firstLine="480"/>
        <w:rPr>
          <w:rFonts w:ascii="宋体" w:hAnsi="宋体" w:cs="宋体"/>
          <w:snapToGrid w:val="0"/>
          <w:kern w:val="0"/>
          <w:sz w:val="24"/>
          <w:highlight w:val="none"/>
        </w:rPr>
      </w:pPr>
      <w:r>
        <w:rPr>
          <w:rFonts w:hint="eastAsia" w:ascii="宋体" w:hAnsi="宋体" w:cs="宋体"/>
          <w:snapToGrid w:val="0"/>
          <w:kern w:val="0"/>
          <w:sz w:val="24"/>
          <w:highlight w:val="none"/>
        </w:rPr>
        <w:t>投诉书应符合本项目招标（采购）文件“异议（质疑）与投诉”章节有关要求，书面投诉书提出时，投诉受理部门应及时答复。</w:t>
      </w:r>
    </w:p>
    <w:p w14:paraId="6B7D3FAA">
      <w:pPr>
        <w:pStyle w:val="271"/>
        <w:spacing w:line="360" w:lineRule="auto"/>
        <w:ind w:firstLine="480"/>
        <w:rPr>
          <w:rFonts w:ascii="宋体" w:hAnsi="宋体" w:cs="宋体"/>
          <w:snapToGrid w:val="0"/>
          <w:kern w:val="0"/>
          <w:sz w:val="24"/>
          <w:highlight w:val="none"/>
        </w:rPr>
      </w:pPr>
      <w:r>
        <w:rPr>
          <w:rFonts w:hint="eastAsia" w:ascii="宋体" w:hAnsi="宋体" w:cs="宋体"/>
          <w:snapToGrid w:val="0"/>
          <w:kern w:val="0"/>
          <w:sz w:val="24"/>
          <w:highlight w:val="none"/>
        </w:rPr>
        <w:t>行政监督部门：泰安市卫生健康委员会财务审计科提出投诉，联系电话：0538-6991839。</w:t>
      </w:r>
    </w:p>
    <w:p w14:paraId="15DA23EF">
      <w:pPr>
        <w:spacing w:line="360" w:lineRule="auto"/>
        <w:ind w:firstLine="482" w:firstLineChars="200"/>
        <w:rPr>
          <w:rFonts w:ascii="宋体" w:hAnsi="宋体" w:cs="宋体"/>
          <w:b/>
          <w:bCs/>
          <w:sz w:val="24"/>
          <w:highlight w:val="none"/>
        </w:rPr>
      </w:pPr>
      <w:bookmarkStart w:id="24" w:name="_Toc28359085"/>
      <w:bookmarkStart w:id="25" w:name="_Toc28359008"/>
      <w:bookmarkStart w:id="26" w:name="_Toc35393796"/>
      <w:bookmarkStart w:id="27" w:name="_Toc35393627"/>
      <w:r>
        <w:rPr>
          <w:rFonts w:hint="eastAsia" w:ascii="宋体" w:hAnsi="宋体" w:cs="宋体"/>
          <w:b/>
          <w:bCs/>
          <w:sz w:val="24"/>
          <w:highlight w:val="none"/>
        </w:rPr>
        <w:t>七、对本次招标提出询问，请按以下方式联系。</w:t>
      </w:r>
      <w:bookmarkEnd w:id="24"/>
      <w:bookmarkEnd w:id="25"/>
      <w:bookmarkEnd w:id="26"/>
      <w:bookmarkEnd w:id="27"/>
    </w:p>
    <w:p w14:paraId="7E1DA5A8">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1.采购人信息</w:t>
      </w:r>
    </w:p>
    <w:p w14:paraId="38ED2326">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名称：泰安市中心医院（青岛大学附属泰安市中心医院、泰山医养中心）</w:t>
      </w:r>
    </w:p>
    <w:p w14:paraId="3F7D1493">
      <w:pPr>
        <w:adjustRightInd w:val="0"/>
        <w:snapToGrid w:val="0"/>
        <w:spacing w:line="360" w:lineRule="auto"/>
        <w:ind w:firstLine="480" w:firstLineChars="200"/>
        <w:rPr>
          <w:rFonts w:ascii="宋体" w:hAnsi="宋体" w:cs="宋体"/>
          <w:sz w:val="24"/>
          <w:highlight w:val="none"/>
        </w:rPr>
      </w:pPr>
      <w:bookmarkStart w:id="28" w:name="_Toc28359097"/>
      <w:bookmarkStart w:id="29" w:name="_Toc28359020"/>
      <w:bookmarkStart w:id="30" w:name="_Toc35393807"/>
      <w:bookmarkStart w:id="31" w:name="_Toc35393638"/>
      <w:r>
        <w:rPr>
          <w:rFonts w:hint="eastAsia" w:ascii="宋体" w:hAnsi="宋体" w:cs="宋体"/>
          <w:sz w:val="24"/>
          <w:highlight w:val="none"/>
        </w:rPr>
        <w:t>地址：泰安市龙潭路24号</w:t>
      </w:r>
    </w:p>
    <w:p w14:paraId="7ABC1078">
      <w:pPr>
        <w:adjustRightInd w:val="0"/>
        <w:snapToGrid w:val="0"/>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联系人：刘</w:t>
      </w:r>
      <w:r>
        <w:rPr>
          <w:rFonts w:hint="eastAsia" w:ascii="宋体" w:hAnsi="宋体" w:cs="宋体"/>
          <w:sz w:val="24"/>
          <w:highlight w:val="none"/>
          <w:lang w:val="en-US" w:eastAsia="zh-CN"/>
        </w:rPr>
        <w:t>老师</w:t>
      </w:r>
    </w:p>
    <w:p w14:paraId="5445274C">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联系电话：</w:t>
      </w:r>
      <w:r>
        <w:rPr>
          <w:rFonts w:ascii="宋体" w:hAnsi="宋体" w:cs="宋体"/>
          <w:sz w:val="24"/>
          <w:highlight w:val="none"/>
        </w:rPr>
        <w:t>0538</w:t>
      </w:r>
      <w:r>
        <w:rPr>
          <w:rFonts w:hint="eastAsia" w:ascii="宋体" w:hAnsi="宋体" w:cs="宋体"/>
          <w:sz w:val="24"/>
          <w:highlight w:val="none"/>
        </w:rPr>
        <w:t>-</w:t>
      </w:r>
      <w:r>
        <w:rPr>
          <w:rFonts w:ascii="宋体" w:hAnsi="宋体" w:cs="宋体"/>
          <w:sz w:val="24"/>
          <w:highlight w:val="none"/>
        </w:rPr>
        <w:t>6298221</w:t>
      </w:r>
    </w:p>
    <w:p w14:paraId="5038C42F">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2.采购代理机构信息</w:t>
      </w:r>
      <w:bookmarkEnd w:id="28"/>
      <w:bookmarkEnd w:id="29"/>
      <w:bookmarkEnd w:id="30"/>
      <w:bookmarkEnd w:id="31"/>
    </w:p>
    <w:p w14:paraId="1AC5F14E">
      <w:pPr>
        <w:spacing w:line="360" w:lineRule="auto"/>
        <w:ind w:firstLine="480" w:firstLineChars="200"/>
        <w:rPr>
          <w:rFonts w:ascii="宋体" w:hAnsi="宋体" w:cs="宋体"/>
          <w:sz w:val="24"/>
          <w:highlight w:val="none"/>
        </w:rPr>
      </w:pPr>
      <w:r>
        <w:rPr>
          <w:rFonts w:hint="eastAsia" w:ascii="宋体" w:hAnsi="宋体" w:cs="宋体"/>
          <w:sz w:val="24"/>
          <w:highlight w:val="none"/>
        </w:rPr>
        <w:t>名 称：</w:t>
      </w:r>
      <w:r>
        <w:rPr>
          <w:rFonts w:hint="eastAsia" w:ascii="宋体" w:hAnsi="宋体" w:cs="宋体"/>
          <w:kern w:val="0"/>
          <w:sz w:val="24"/>
          <w:highlight w:val="none"/>
        </w:rPr>
        <w:t>海逸恒安项目管理有限公司</w:t>
      </w:r>
    </w:p>
    <w:p w14:paraId="0D6A29F7">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地 址：</w:t>
      </w:r>
      <w:r>
        <w:rPr>
          <w:rFonts w:ascii="宋体" w:hAnsi="宋体" w:cs="宋体"/>
          <w:sz w:val="24"/>
          <w:highlight w:val="none"/>
        </w:rPr>
        <w:t>山东省济南市历下区华润置地广场A5-6号楼27层</w:t>
      </w:r>
    </w:p>
    <w:p w14:paraId="336C8741">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联系方式：</w:t>
      </w:r>
      <w:bookmarkStart w:id="32" w:name="_Toc28359021"/>
      <w:bookmarkStart w:id="33" w:name="_Toc35393639"/>
      <w:bookmarkStart w:id="34" w:name="_Toc35393808"/>
      <w:bookmarkStart w:id="35" w:name="_Toc28359098"/>
      <w:r>
        <w:rPr>
          <w:rFonts w:hint="eastAsia" w:ascii="宋体" w:hAnsi="宋体" w:cs="宋体"/>
          <w:sz w:val="24"/>
          <w:highlight w:val="none"/>
        </w:rPr>
        <w:t>0531-82661697</w:t>
      </w:r>
    </w:p>
    <w:p w14:paraId="6D3360C5">
      <w:pPr>
        <w:spacing w:line="360" w:lineRule="auto"/>
        <w:ind w:firstLine="480" w:firstLineChars="200"/>
        <w:rPr>
          <w:rFonts w:ascii="宋体" w:hAnsi="宋体" w:cs="宋体"/>
          <w:sz w:val="24"/>
          <w:highlight w:val="none"/>
        </w:rPr>
      </w:pPr>
      <w:r>
        <w:rPr>
          <w:rFonts w:hint="eastAsia" w:ascii="宋体" w:hAnsi="宋体" w:cs="宋体"/>
          <w:sz w:val="24"/>
          <w:highlight w:val="none"/>
        </w:rPr>
        <w:t>3.项目联系方式</w:t>
      </w:r>
      <w:bookmarkEnd w:id="32"/>
      <w:bookmarkEnd w:id="33"/>
      <w:bookmarkEnd w:id="34"/>
      <w:bookmarkEnd w:id="35"/>
    </w:p>
    <w:p w14:paraId="68E8F7A5">
      <w:pPr>
        <w:spacing w:line="360" w:lineRule="auto"/>
        <w:ind w:firstLine="480" w:firstLineChars="200"/>
        <w:rPr>
          <w:rFonts w:ascii="宋体" w:hAnsi="宋体" w:cs="宋体"/>
          <w:sz w:val="24"/>
          <w:highlight w:val="none"/>
        </w:rPr>
      </w:pPr>
      <w:r>
        <w:rPr>
          <w:rFonts w:hint="eastAsia" w:ascii="宋体" w:hAnsi="宋体" w:cs="宋体"/>
          <w:sz w:val="24"/>
          <w:highlight w:val="none"/>
        </w:rPr>
        <w:t>项目联系人：张经理</w:t>
      </w:r>
    </w:p>
    <w:p w14:paraId="6C855FB7">
      <w:pPr>
        <w:spacing w:line="360" w:lineRule="auto"/>
        <w:ind w:firstLine="480" w:firstLineChars="200"/>
        <w:rPr>
          <w:rFonts w:hint="default" w:ascii="宋体" w:hAnsi="宋体" w:eastAsia="宋体" w:cs="宋体"/>
          <w:sz w:val="24"/>
          <w:highlight w:val="none"/>
          <w:lang w:val="en-US" w:eastAsia="zh-CN"/>
        </w:rPr>
      </w:pPr>
      <w:r>
        <w:rPr>
          <w:rFonts w:hint="eastAsia" w:ascii="宋体" w:hAnsi="宋体" w:cs="宋体"/>
          <w:sz w:val="24"/>
          <w:highlight w:val="none"/>
        </w:rPr>
        <w:t>电　　 话：0531-82661697</w:t>
      </w:r>
      <w:r>
        <w:rPr>
          <w:rFonts w:hint="eastAsia" w:ascii="宋体" w:hAnsi="宋体" w:cs="宋体"/>
          <w:sz w:val="24"/>
          <w:highlight w:val="none"/>
          <w:lang w:eastAsia="zh-CN"/>
        </w:rPr>
        <w:t>、</w:t>
      </w:r>
      <w:r>
        <w:rPr>
          <w:rFonts w:hint="eastAsia" w:ascii="宋体" w:hAnsi="宋体" w:cs="宋体"/>
          <w:sz w:val="24"/>
          <w:highlight w:val="none"/>
          <w:lang w:val="en-US" w:eastAsia="zh-CN"/>
        </w:rPr>
        <w:t>17853149175</w:t>
      </w:r>
    </w:p>
    <w:p w14:paraId="4972D88A">
      <w:pPr>
        <w:spacing w:line="360" w:lineRule="auto"/>
        <w:ind w:firstLine="480" w:firstLineChars="200"/>
        <w:rPr>
          <w:rFonts w:hint="eastAsia" w:ascii="宋体" w:hAnsi="宋体"/>
          <w:sz w:val="30"/>
          <w:szCs w:val="30"/>
          <w:highlight w:val="none"/>
        </w:rPr>
      </w:pPr>
      <w:r>
        <w:rPr>
          <w:rFonts w:hint="eastAsia" w:ascii="宋体" w:hAnsi="宋体" w:cs="宋体"/>
          <w:sz w:val="24"/>
          <w:highlight w:val="none"/>
        </w:rPr>
        <w:t>电子邮件：</w:t>
      </w:r>
      <w:r>
        <w:rPr>
          <w:rFonts w:ascii="宋体" w:hAnsi="宋体" w:eastAsia="宋体" w:cs="宋体"/>
          <w:sz w:val="24"/>
          <w:szCs w:val="24"/>
          <w:highlight w:val="none"/>
        </w:rPr>
        <w:t>huangzechun@sdhyha.com</w:t>
      </w:r>
      <w:r>
        <w:rPr>
          <w:rFonts w:hint="eastAsia" w:ascii="宋体" w:hAnsi="宋体"/>
          <w:sz w:val="30"/>
          <w:szCs w:val="30"/>
          <w:highlight w:val="none"/>
        </w:rPr>
        <w:br w:type="page"/>
      </w:r>
    </w:p>
    <w:p w14:paraId="19888006">
      <w:pPr>
        <w:pStyle w:val="2"/>
        <w:numPr>
          <w:ilvl w:val="0"/>
          <w:numId w:val="2"/>
        </w:numPr>
        <w:spacing w:before="0" w:after="0" w:line="360" w:lineRule="auto"/>
        <w:jc w:val="center"/>
        <w:rPr>
          <w:rFonts w:hint="eastAsia" w:ascii="宋体" w:hAnsi="宋体"/>
          <w:kern w:val="2"/>
          <w:sz w:val="32"/>
          <w:highlight w:val="none"/>
        </w:rPr>
      </w:pPr>
      <w:r>
        <w:rPr>
          <w:rFonts w:hint="eastAsia" w:ascii="宋体" w:hAnsi="宋体"/>
          <w:kern w:val="2"/>
          <w:sz w:val="32"/>
          <w:highlight w:val="none"/>
        </w:rPr>
        <w:t xml:space="preserve"> </w:t>
      </w:r>
      <w:bookmarkStart w:id="36" w:name="_Toc17691"/>
      <w:r>
        <w:rPr>
          <w:rFonts w:hint="eastAsia" w:ascii="宋体" w:hAnsi="宋体"/>
          <w:kern w:val="2"/>
          <w:sz w:val="32"/>
          <w:highlight w:val="none"/>
        </w:rPr>
        <w:t>供应商须知</w:t>
      </w:r>
      <w:bookmarkEnd w:id="36"/>
    </w:p>
    <w:p w14:paraId="6C6534FC">
      <w:pPr>
        <w:pStyle w:val="2"/>
        <w:numPr>
          <w:ilvl w:val="0"/>
          <w:numId w:val="0"/>
        </w:numPr>
        <w:spacing w:before="0" w:after="0" w:line="360" w:lineRule="auto"/>
        <w:jc w:val="center"/>
        <w:rPr>
          <w:rFonts w:ascii="宋体" w:hAnsi="宋体"/>
          <w:bCs/>
          <w:sz w:val="30"/>
          <w:szCs w:val="30"/>
          <w:highlight w:val="none"/>
        </w:rPr>
      </w:pPr>
      <w:bookmarkStart w:id="37" w:name="_Toc17462"/>
      <w:r>
        <w:rPr>
          <w:rFonts w:hint="eastAsia" w:ascii="宋体" w:hAnsi="宋体"/>
          <w:sz w:val="30"/>
          <w:szCs w:val="30"/>
          <w:highlight w:val="none"/>
        </w:rPr>
        <w:t>供应商须知前附表</w:t>
      </w:r>
      <w:bookmarkEnd w:id="37"/>
    </w:p>
    <w:p w14:paraId="7898D3C8">
      <w:pPr>
        <w:spacing w:line="360" w:lineRule="auto"/>
        <w:ind w:firstLine="480" w:firstLineChars="200"/>
        <w:rPr>
          <w:rFonts w:ascii="宋体" w:hAnsi="宋体"/>
          <w:sz w:val="24"/>
          <w:highlight w:val="none"/>
        </w:rPr>
      </w:pPr>
      <w:r>
        <w:rPr>
          <w:rFonts w:hint="eastAsia" w:ascii="宋体" w:hAnsi="宋体"/>
          <w:sz w:val="24"/>
          <w:highlight w:val="none"/>
        </w:rPr>
        <w:t>本表是对“供应商须知”正文的具体补充和修改，如有不一致，以“前附表”为准。</w:t>
      </w:r>
    </w:p>
    <w:tbl>
      <w:tblPr>
        <w:tblStyle w:val="75"/>
        <w:tblW w:w="1027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19"/>
        <w:gridCol w:w="1504"/>
        <w:gridCol w:w="8151"/>
      </w:tblGrid>
      <w:tr w14:paraId="43D009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2" w:hRule="atLeast"/>
          <w:tblHeader/>
          <w:jc w:val="center"/>
        </w:trPr>
        <w:tc>
          <w:tcPr>
            <w:tcW w:w="619" w:type="dxa"/>
            <w:noWrap w:val="0"/>
            <w:vAlign w:val="center"/>
          </w:tcPr>
          <w:p w14:paraId="39181783">
            <w:pPr>
              <w:spacing w:line="360" w:lineRule="auto"/>
              <w:jc w:val="center"/>
              <w:rPr>
                <w:rFonts w:ascii="宋体" w:hAnsi="宋体"/>
                <w:sz w:val="24"/>
                <w:highlight w:val="none"/>
              </w:rPr>
            </w:pPr>
            <w:r>
              <w:rPr>
                <w:rFonts w:hint="eastAsia" w:ascii="宋体" w:hAnsi="宋体"/>
                <w:sz w:val="24"/>
                <w:highlight w:val="none"/>
              </w:rPr>
              <w:t>序号</w:t>
            </w:r>
          </w:p>
        </w:tc>
        <w:tc>
          <w:tcPr>
            <w:tcW w:w="1504" w:type="dxa"/>
            <w:noWrap w:val="0"/>
            <w:vAlign w:val="center"/>
          </w:tcPr>
          <w:p w14:paraId="7E77504C">
            <w:pPr>
              <w:spacing w:line="360" w:lineRule="auto"/>
              <w:jc w:val="center"/>
              <w:rPr>
                <w:rFonts w:ascii="宋体" w:hAnsi="宋体"/>
                <w:b/>
                <w:sz w:val="24"/>
                <w:highlight w:val="none"/>
              </w:rPr>
            </w:pPr>
            <w:r>
              <w:rPr>
                <w:rFonts w:hint="eastAsia" w:ascii="宋体" w:hAnsi="宋体"/>
                <w:b/>
                <w:sz w:val="24"/>
                <w:highlight w:val="none"/>
              </w:rPr>
              <w:t>内</w:t>
            </w:r>
            <w:r>
              <w:rPr>
                <w:rFonts w:ascii="宋体" w:hAnsi="宋体"/>
                <w:b/>
                <w:sz w:val="24"/>
                <w:highlight w:val="none"/>
              </w:rPr>
              <w:t xml:space="preserve">  </w:t>
            </w:r>
            <w:r>
              <w:rPr>
                <w:rFonts w:hint="eastAsia" w:ascii="宋体" w:hAnsi="宋体"/>
                <w:b/>
                <w:sz w:val="24"/>
                <w:highlight w:val="none"/>
              </w:rPr>
              <w:t>容</w:t>
            </w:r>
          </w:p>
        </w:tc>
        <w:tc>
          <w:tcPr>
            <w:tcW w:w="8151" w:type="dxa"/>
            <w:noWrap w:val="0"/>
            <w:vAlign w:val="center"/>
          </w:tcPr>
          <w:p w14:paraId="47242709">
            <w:pPr>
              <w:spacing w:line="360" w:lineRule="auto"/>
              <w:jc w:val="center"/>
              <w:rPr>
                <w:rFonts w:ascii="宋体" w:hAnsi="宋体"/>
                <w:b/>
                <w:sz w:val="24"/>
                <w:highlight w:val="none"/>
              </w:rPr>
            </w:pPr>
            <w:r>
              <w:rPr>
                <w:rFonts w:hint="eastAsia" w:ascii="宋体" w:hAnsi="宋体"/>
                <w:b/>
                <w:sz w:val="24"/>
                <w:highlight w:val="none"/>
              </w:rPr>
              <w:t>说明或要求</w:t>
            </w:r>
          </w:p>
        </w:tc>
      </w:tr>
      <w:tr w14:paraId="6D79F7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619" w:type="dxa"/>
            <w:noWrap w:val="0"/>
            <w:vAlign w:val="center"/>
          </w:tcPr>
          <w:p w14:paraId="6EA085CB">
            <w:pPr>
              <w:spacing w:line="360" w:lineRule="auto"/>
              <w:jc w:val="center"/>
              <w:rPr>
                <w:rFonts w:ascii="宋体" w:hAnsi="宋体"/>
                <w:sz w:val="24"/>
                <w:highlight w:val="none"/>
              </w:rPr>
            </w:pPr>
            <w:r>
              <w:rPr>
                <w:rFonts w:ascii="宋体" w:hAnsi="宋体"/>
                <w:sz w:val="24"/>
                <w:highlight w:val="none"/>
              </w:rPr>
              <w:t>1</w:t>
            </w:r>
          </w:p>
        </w:tc>
        <w:tc>
          <w:tcPr>
            <w:tcW w:w="1504" w:type="dxa"/>
            <w:noWrap w:val="0"/>
            <w:vAlign w:val="center"/>
          </w:tcPr>
          <w:p w14:paraId="0EA61E2F">
            <w:pPr>
              <w:spacing w:line="360" w:lineRule="auto"/>
              <w:jc w:val="center"/>
              <w:rPr>
                <w:rFonts w:hint="eastAsia" w:ascii="宋体" w:hAnsi="宋体"/>
                <w:sz w:val="24"/>
                <w:highlight w:val="none"/>
              </w:rPr>
            </w:pPr>
            <w:r>
              <w:rPr>
                <w:rFonts w:hint="eastAsia" w:ascii="宋体" w:hAnsi="宋体"/>
                <w:sz w:val="24"/>
                <w:highlight w:val="none"/>
              </w:rPr>
              <w:t>项目信息</w:t>
            </w:r>
          </w:p>
        </w:tc>
        <w:tc>
          <w:tcPr>
            <w:tcW w:w="8151" w:type="dxa"/>
            <w:noWrap w:val="0"/>
            <w:vAlign w:val="center"/>
          </w:tcPr>
          <w:p w14:paraId="6AA0F73A">
            <w:pPr>
              <w:spacing w:line="360" w:lineRule="auto"/>
              <w:ind w:firstLine="523" w:firstLineChars="218"/>
              <w:rPr>
                <w:rFonts w:hint="eastAsia" w:ascii="宋体" w:hAnsi="宋体" w:eastAsia="宋体"/>
                <w:sz w:val="24"/>
                <w:highlight w:val="none"/>
                <w:lang w:eastAsia="zh-CN"/>
              </w:rPr>
            </w:pPr>
            <w:r>
              <w:rPr>
                <w:rFonts w:hint="eastAsia" w:ascii="宋体" w:hAnsi="宋体"/>
                <w:sz w:val="24"/>
                <w:highlight w:val="none"/>
              </w:rPr>
              <w:t>项目名称：</w:t>
            </w:r>
            <w:r>
              <w:rPr>
                <w:rFonts w:hint="eastAsia" w:ascii="宋体" w:hAnsi="宋体"/>
                <w:sz w:val="24"/>
                <w:highlight w:val="none"/>
                <w:lang w:eastAsia="zh-CN"/>
              </w:rPr>
              <w:t>泰安市中心医院(青岛大学附属泰安市中心医院、泰山医养中心) 市立院区安保服务采购项目</w:t>
            </w:r>
          </w:p>
          <w:p w14:paraId="601430E3">
            <w:pPr>
              <w:spacing w:line="360" w:lineRule="auto"/>
              <w:ind w:firstLine="523" w:firstLineChars="218"/>
              <w:rPr>
                <w:rFonts w:hint="default" w:ascii="宋体" w:hAnsi="宋体" w:eastAsia="宋体"/>
                <w:sz w:val="24"/>
                <w:highlight w:val="none"/>
                <w:lang w:val="en-US" w:eastAsia="zh-CN"/>
              </w:rPr>
            </w:pPr>
            <w:r>
              <w:rPr>
                <w:rFonts w:hint="eastAsia" w:ascii="宋体" w:hAnsi="宋体"/>
                <w:sz w:val="24"/>
                <w:highlight w:val="none"/>
              </w:rPr>
              <w:t>采购编号：2024-H-85</w:t>
            </w:r>
            <w:r>
              <w:rPr>
                <w:rFonts w:hint="eastAsia" w:ascii="宋体" w:hAnsi="宋体"/>
                <w:sz w:val="24"/>
                <w:highlight w:val="none"/>
                <w:lang w:val="en-US" w:eastAsia="zh-CN"/>
              </w:rPr>
              <w:t xml:space="preserve">    </w:t>
            </w:r>
          </w:p>
          <w:p w14:paraId="77909AE4">
            <w:pPr>
              <w:spacing w:line="360" w:lineRule="auto"/>
              <w:ind w:firstLine="523" w:firstLineChars="218"/>
              <w:rPr>
                <w:rFonts w:hint="eastAsia" w:ascii="宋体" w:hAnsi="宋体" w:eastAsia="宋体"/>
                <w:sz w:val="24"/>
                <w:highlight w:val="none"/>
                <w:lang w:eastAsia="zh-CN"/>
              </w:rPr>
            </w:pPr>
            <w:r>
              <w:rPr>
                <w:rFonts w:hint="eastAsia" w:ascii="宋体" w:hAnsi="宋体"/>
                <w:sz w:val="24"/>
                <w:highlight w:val="none"/>
              </w:rPr>
              <w:t>进场交易编号：</w:t>
            </w:r>
            <w:r>
              <w:rPr>
                <w:rFonts w:hint="eastAsia" w:ascii="宋体" w:hAnsi="宋体"/>
                <w:sz w:val="24"/>
                <w:highlight w:val="none"/>
                <w:lang w:val="en-US" w:eastAsia="zh-CN"/>
              </w:rPr>
              <w:t xml:space="preserve"> SJ-SHZC-241219-01-01-02</w:t>
            </w:r>
          </w:p>
        </w:tc>
      </w:tr>
      <w:tr w14:paraId="4BA9D0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5" w:hRule="atLeast"/>
          <w:jc w:val="center"/>
        </w:trPr>
        <w:tc>
          <w:tcPr>
            <w:tcW w:w="619" w:type="dxa"/>
            <w:noWrap w:val="0"/>
            <w:vAlign w:val="center"/>
          </w:tcPr>
          <w:p w14:paraId="3A4FFE08">
            <w:pPr>
              <w:spacing w:line="360" w:lineRule="auto"/>
              <w:jc w:val="center"/>
              <w:rPr>
                <w:rFonts w:ascii="宋体" w:hAnsi="宋体"/>
                <w:sz w:val="24"/>
                <w:highlight w:val="none"/>
              </w:rPr>
            </w:pPr>
            <w:r>
              <w:rPr>
                <w:rFonts w:hint="eastAsia" w:ascii="宋体" w:hAnsi="宋体"/>
                <w:sz w:val="24"/>
                <w:highlight w:val="none"/>
              </w:rPr>
              <w:t>2</w:t>
            </w:r>
          </w:p>
        </w:tc>
        <w:tc>
          <w:tcPr>
            <w:tcW w:w="1504" w:type="dxa"/>
            <w:noWrap w:val="0"/>
            <w:vAlign w:val="center"/>
          </w:tcPr>
          <w:p w14:paraId="70FF882A">
            <w:pPr>
              <w:spacing w:line="360" w:lineRule="auto"/>
              <w:jc w:val="center"/>
              <w:rPr>
                <w:rFonts w:ascii="宋体" w:hAnsi="宋体"/>
                <w:sz w:val="24"/>
                <w:highlight w:val="none"/>
              </w:rPr>
            </w:pPr>
            <w:r>
              <w:rPr>
                <w:rFonts w:hint="eastAsia" w:ascii="宋体" w:hAnsi="宋体"/>
                <w:sz w:val="24"/>
                <w:highlight w:val="none"/>
              </w:rPr>
              <w:t>采购人</w:t>
            </w:r>
          </w:p>
        </w:tc>
        <w:tc>
          <w:tcPr>
            <w:tcW w:w="8151" w:type="dxa"/>
            <w:noWrap w:val="0"/>
            <w:vAlign w:val="center"/>
          </w:tcPr>
          <w:p w14:paraId="10B4481E">
            <w:pPr>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采购人：</w:t>
            </w:r>
            <w:r>
              <w:rPr>
                <w:rFonts w:hint="eastAsia" w:ascii="宋体" w:hAnsi="宋体" w:cs="宋体"/>
                <w:sz w:val="24"/>
                <w:highlight w:val="none"/>
                <w:lang w:val="zh-CN"/>
              </w:rPr>
              <w:t xml:space="preserve">泰安市中心医院(青岛大学附属泰安市中心医院、泰山医养中心) </w:t>
            </w:r>
          </w:p>
          <w:p w14:paraId="217D7C95">
            <w:pPr>
              <w:widowControl/>
              <w:adjustRightInd w:val="0"/>
              <w:snapToGrid w:val="0"/>
              <w:spacing w:line="360" w:lineRule="auto"/>
              <w:ind w:firstLine="480" w:firstLineChars="200"/>
              <w:jc w:val="left"/>
              <w:rPr>
                <w:rFonts w:hint="eastAsia" w:ascii="宋体" w:hAnsi="宋体" w:eastAsia="宋体" w:cs="宋体"/>
                <w:kern w:val="0"/>
                <w:sz w:val="24"/>
                <w:highlight w:val="none"/>
                <w:lang w:eastAsia="zh-CN"/>
              </w:rPr>
            </w:pPr>
            <w:r>
              <w:rPr>
                <w:rFonts w:hint="eastAsia" w:ascii="宋体" w:hAnsi="宋体" w:cs="宋体"/>
                <w:sz w:val="24"/>
                <w:highlight w:val="none"/>
              </w:rPr>
              <w:t>联系人：刘</w:t>
            </w:r>
            <w:r>
              <w:rPr>
                <w:rFonts w:hint="eastAsia" w:ascii="宋体" w:hAnsi="宋体" w:cs="宋体"/>
                <w:sz w:val="24"/>
                <w:highlight w:val="none"/>
                <w:lang w:val="en-US" w:eastAsia="zh-CN"/>
              </w:rPr>
              <w:t>老师</w:t>
            </w:r>
          </w:p>
          <w:p w14:paraId="592D3168">
            <w:pPr>
              <w:spacing w:line="360" w:lineRule="auto"/>
              <w:ind w:firstLine="480" w:firstLineChars="200"/>
              <w:rPr>
                <w:rFonts w:ascii="宋体" w:hAnsi="宋体"/>
                <w:sz w:val="24"/>
                <w:highlight w:val="none"/>
              </w:rPr>
            </w:pPr>
            <w:r>
              <w:rPr>
                <w:rFonts w:hint="eastAsia" w:ascii="宋体" w:hAnsi="宋体" w:cs="宋体"/>
                <w:sz w:val="24"/>
                <w:highlight w:val="none"/>
              </w:rPr>
              <w:t>联系电话：0538-6298221</w:t>
            </w:r>
          </w:p>
        </w:tc>
      </w:tr>
      <w:tr w14:paraId="749F98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498" w:hRule="atLeast"/>
          <w:jc w:val="center"/>
        </w:trPr>
        <w:tc>
          <w:tcPr>
            <w:tcW w:w="619" w:type="dxa"/>
            <w:noWrap w:val="0"/>
            <w:vAlign w:val="center"/>
          </w:tcPr>
          <w:p w14:paraId="694E95F1">
            <w:pPr>
              <w:spacing w:line="360" w:lineRule="auto"/>
              <w:jc w:val="center"/>
              <w:rPr>
                <w:rFonts w:ascii="宋体" w:hAnsi="宋体"/>
                <w:sz w:val="24"/>
                <w:highlight w:val="none"/>
              </w:rPr>
            </w:pPr>
            <w:r>
              <w:rPr>
                <w:rFonts w:hint="eastAsia" w:ascii="宋体" w:hAnsi="宋体"/>
                <w:sz w:val="24"/>
                <w:highlight w:val="none"/>
              </w:rPr>
              <w:t>3</w:t>
            </w:r>
          </w:p>
        </w:tc>
        <w:tc>
          <w:tcPr>
            <w:tcW w:w="1504" w:type="dxa"/>
            <w:noWrap w:val="0"/>
            <w:vAlign w:val="center"/>
          </w:tcPr>
          <w:p w14:paraId="17CD5AE5">
            <w:pPr>
              <w:spacing w:line="360" w:lineRule="auto"/>
              <w:jc w:val="center"/>
              <w:rPr>
                <w:rFonts w:ascii="宋体" w:hAnsi="宋体"/>
                <w:sz w:val="24"/>
                <w:highlight w:val="none"/>
              </w:rPr>
            </w:pPr>
            <w:r>
              <w:rPr>
                <w:rFonts w:hint="eastAsia" w:ascii="宋体" w:hAnsi="宋体"/>
                <w:sz w:val="24"/>
                <w:highlight w:val="none"/>
              </w:rPr>
              <w:t>代理机构</w:t>
            </w:r>
          </w:p>
        </w:tc>
        <w:tc>
          <w:tcPr>
            <w:tcW w:w="8151" w:type="dxa"/>
            <w:noWrap w:val="0"/>
            <w:vAlign w:val="center"/>
          </w:tcPr>
          <w:p w14:paraId="04E0BE44">
            <w:pPr>
              <w:spacing w:line="360" w:lineRule="auto"/>
              <w:ind w:firstLine="523" w:firstLineChars="218"/>
              <w:rPr>
                <w:rFonts w:hint="eastAsia" w:ascii="宋体" w:hAnsi="宋体" w:cs="宋体"/>
                <w:sz w:val="24"/>
                <w:highlight w:val="none"/>
              </w:rPr>
            </w:pPr>
            <w:r>
              <w:rPr>
                <w:rFonts w:hint="eastAsia" w:ascii="宋体" w:hAnsi="宋体" w:cs="宋体"/>
                <w:sz w:val="24"/>
                <w:highlight w:val="none"/>
              </w:rPr>
              <w:t>代理机构：海逸恒安项目管理有限公司</w:t>
            </w:r>
          </w:p>
          <w:p w14:paraId="20A97E75">
            <w:pPr>
              <w:spacing w:line="360" w:lineRule="auto"/>
              <w:ind w:firstLine="523" w:firstLineChars="218"/>
              <w:rPr>
                <w:rFonts w:hint="eastAsia" w:ascii="宋体" w:hAnsi="宋体" w:cs="宋体"/>
                <w:sz w:val="24"/>
                <w:highlight w:val="none"/>
              </w:rPr>
            </w:pPr>
            <w:r>
              <w:rPr>
                <w:rFonts w:hint="eastAsia" w:ascii="宋体" w:hAnsi="宋体" w:cs="宋体"/>
                <w:sz w:val="24"/>
                <w:highlight w:val="none"/>
              </w:rPr>
              <w:t>联系人：张经理</w:t>
            </w:r>
          </w:p>
          <w:p w14:paraId="67AC65DC">
            <w:pPr>
              <w:spacing w:line="360" w:lineRule="auto"/>
              <w:ind w:firstLine="523" w:firstLineChars="218"/>
              <w:rPr>
                <w:rFonts w:hint="default" w:ascii="宋体" w:hAnsi="宋体" w:eastAsia="宋体"/>
                <w:sz w:val="24"/>
                <w:highlight w:val="none"/>
                <w:lang w:val="en-US" w:eastAsia="zh-CN"/>
              </w:rPr>
            </w:pPr>
            <w:r>
              <w:rPr>
                <w:rFonts w:hint="eastAsia" w:ascii="宋体" w:hAnsi="宋体" w:cs="宋体"/>
                <w:sz w:val="24"/>
                <w:highlight w:val="none"/>
              </w:rPr>
              <w:t>联系电话：0531-82661697</w:t>
            </w:r>
            <w:r>
              <w:rPr>
                <w:rFonts w:hint="eastAsia" w:ascii="宋体" w:hAnsi="宋体" w:cs="宋体"/>
                <w:sz w:val="24"/>
                <w:highlight w:val="none"/>
                <w:lang w:eastAsia="zh-CN"/>
              </w:rPr>
              <w:t>、</w:t>
            </w:r>
            <w:r>
              <w:rPr>
                <w:rFonts w:hint="eastAsia" w:ascii="宋体" w:hAnsi="宋体" w:cs="宋体"/>
                <w:sz w:val="24"/>
                <w:highlight w:val="none"/>
                <w:lang w:val="en-US" w:eastAsia="zh-CN"/>
              </w:rPr>
              <w:t>17853149175</w:t>
            </w:r>
          </w:p>
        </w:tc>
      </w:tr>
      <w:tr w14:paraId="6BED0C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jc w:val="center"/>
        </w:trPr>
        <w:tc>
          <w:tcPr>
            <w:tcW w:w="619" w:type="dxa"/>
            <w:noWrap w:val="0"/>
            <w:vAlign w:val="center"/>
          </w:tcPr>
          <w:p w14:paraId="63620E03">
            <w:pPr>
              <w:spacing w:line="360" w:lineRule="auto"/>
              <w:jc w:val="center"/>
              <w:rPr>
                <w:rFonts w:ascii="宋体" w:hAnsi="宋体"/>
                <w:sz w:val="24"/>
                <w:highlight w:val="none"/>
              </w:rPr>
            </w:pPr>
            <w:r>
              <w:rPr>
                <w:rFonts w:hint="eastAsia" w:ascii="宋体" w:hAnsi="宋体"/>
                <w:sz w:val="24"/>
                <w:highlight w:val="none"/>
              </w:rPr>
              <w:t>4</w:t>
            </w:r>
          </w:p>
        </w:tc>
        <w:tc>
          <w:tcPr>
            <w:tcW w:w="1504" w:type="dxa"/>
            <w:noWrap w:val="0"/>
            <w:vAlign w:val="center"/>
          </w:tcPr>
          <w:p w14:paraId="66B44788">
            <w:pPr>
              <w:spacing w:line="360" w:lineRule="auto"/>
              <w:jc w:val="center"/>
              <w:rPr>
                <w:rFonts w:ascii="宋体" w:hAnsi="宋体"/>
                <w:sz w:val="24"/>
                <w:highlight w:val="none"/>
              </w:rPr>
            </w:pPr>
            <w:r>
              <w:rPr>
                <w:rFonts w:hint="eastAsia" w:ascii="宋体" w:hAnsi="宋体"/>
                <w:sz w:val="24"/>
                <w:highlight w:val="none"/>
              </w:rPr>
              <w:t>资金来源与采购预算</w:t>
            </w:r>
          </w:p>
        </w:tc>
        <w:tc>
          <w:tcPr>
            <w:tcW w:w="8151" w:type="dxa"/>
            <w:noWrap w:val="0"/>
            <w:vAlign w:val="top"/>
          </w:tcPr>
          <w:p w14:paraId="542B4AD4">
            <w:pPr>
              <w:spacing w:line="360" w:lineRule="auto"/>
              <w:ind w:firstLine="523" w:firstLineChars="218"/>
              <w:rPr>
                <w:snapToGrid w:val="0"/>
                <w:kern w:val="0"/>
                <w:sz w:val="24"/>
                <w:highlight w:val="none"/>
              </w:rPr>
            </w:pPr>
            <w:r>
              <w:rPr>
                <w:rFonts w:hint="eastAsia"/>
                <w:snapToGrid w:val="0"/>
                <w:kern w:val="0"/>
                <w:sz w:val="24"/>
                <w:highlight w:val="none"/>
              </w:rPr>
              <w:t>资金来源：</w:t>
            </w:r>
            <w:r>
              <w:rPr>
                <w:rFonts w:hint="eastAsia"/>
                <w:snapToGrid w:val="0"/>
                <w:kern w:val="0"/>
                <w:sz w:val="24"/>
                <w:highlight w:val="none"/>
                <w:lang w:val="en-US" w:eastAsia="zh-CN"/>
              </w:rPr>
              <w:t>自筹</w:t>
            </w:r>
            <w:r>
              <w:rPr>
                <w:rFonts w:hint="eastAsia"/>
                <w:snapToGrid w:val="0"/>
                <w:kern w:val="0"/>
                <w:sz w:val="24"/>
                <w:highlight w:val="none"/>
              </w:rPr>
              <w:t>资金</w:t>
            </w:r>
          </w:p>
          <w:p w14:paraId="3941F845">
            <w:pPr>
              <w:pStyle w:val="30"/>
              <w:ind w:firstLine="482" w:firstLineChars="200"/>
              <w:rPr>
                <w:rFonts w:ascii="宋体" w:hAnsi="宋体" w:cs="宋体"/>
                <w:b/>
                <w:snapToGrid w:val="0"/>
                <w:szCs w:val="24"/>
                <w:highlight w:val="none"/>
              </w:rPr>
            </w:pPr>
            <w:r>
              <w:rPr>
                <w:rFonts w:hint="eastAsia" w:ascii="宋体" w:hAnsi="宋体" w:cs="宋体"/>
                <w:b/>
                <w:snapToGrid w:val="0"/>
                <w:szCs w:val="24"/>
                <w:highlight w:val="none"/>
              </w:rPr>
              <w:t>预算金额（及最高限价）：</w:t>
            </w:r>
          </w:p>
          <w:tbl>
            <w:tblPr>
              <w:tblStyle w:val="75"/>
              <w:tblW w:w="7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946"/>
              <w:gridCol w:w="793"/>
              <w:gridCol w:w="1586"/>
              <w:gridCol w:w="1470"/>
            </w:tblGrid>
            <w:tr w14:paraId="30A8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blHeader/>
                <w:jc w:val="center"/>
              </w:trPr>
              <w:tc>
                <w:tcPr>
                  <w:tcW w:w="701" w:type="dxa"/>
                  <w:noWrap w:val="0"/>
                  <w:vAlign w:val="center"/>
                </w:tcPr>
                <w:p w14:paraId="4C29FBF4">
                  <w:pPr>
                    <w:widowControl/>
                    <w:adjustRightInd w:val="0"/>
                    <w:snapToGrid w:val="0"/>
                    <w:jc w:val="center"/>
                    <w:rPr>
                      <w:rFonts w:hint="eastAsia" w:ascii="宋体" w:hAnsi="宋体" w:cs="宋体"/>
                      <w:b/>
                      <w:snapToGrid w:val="0"/>
                      <w:kern w:val="0"/>
                      <w:sz w:val="24"/>
                      <w:highlight w:val="none"/>
                    </w:rPr>
                  </w:pPr>
                  <w:r>
                    <w:rPr>
                      <w:rFonts w:hint="eastAsia" w:ascii="宋体" w:hAnsi="宋体" w:cs="宋体"/>
                      <w:b/>
                      <w:snapToGrid w:val="0"/>
                      <w:kern w:val="0"/>
                      <w:sz w:val="24"/>
                      <w:highlight w:val="none"/>
                    </w:rPr>
                    <w:t>标包</w:t>
                  </w:r>
                </w:p>
              </w:tc>
              <w:tc>
                <w:tcPr>
                  <w:tcW w:w="2946" w:type="dxa"/>
                  <w:noWrap w:val="0"/>
                  <w:vAlign w:val="center"/>
                </w:tcPr>
                <w:p w14:paraId="13AB173F">
                  <w:pPr>
                    <w:widowControl/>
                    <w:adjustRightInd w:val="0"/>
                    <w:snapToGrid w:val="0"/>
                    <w:jc w:val="center"/>
                    <w:rPr>
                      <w:rFonts w:ascii="宋体" w:hAnsi="宋体" w:cs="宋体"/>
                      <w:b/>
                      <w:snapToGrid w:val="0"/>
                      <w:kern w:val="0"/>
                      <w:sz w:val="24"/>
                      <w:highlight w:val="none"/>
                    </w:rPr>
                  </w:pPr>
                  <w:r>
                    <w:rPr>
                      <w:rFonts w:hint="eastAsia" w:ascii="宋体" w:hAnsi="宋体" w:cs="宋体"/>
                      <w:b/>
                      <w:snapToGrid w:val="0"/>
                      <w:kern w:val="0"/>
                      <w:sz w:val="24"/>
                      <w:highlight w:val="none"/>
                    </w:rPr>
                    <w:t>项目名称</w:t>
                  </w:r>
                </w:p>
              </w:tc>
              <w:tc>
                <w:tcPr>
                  <w:tcW w:w="793" w:type="dxa"/>
                  <w:noWrap w:val="0"/>
                  <w:vAlign w:val="center"/>
                </w:tcPr>
                <w:p w14:paraId="27BABA63">
                  <w:pPr>
                    <w:widowControl/>
                    <w:adjustRightInd w:val="0"/>
                    <w:snapToGrid w:val="0"/>
                    <w:jc w:val="center"/>
                    <w:rPr>
                      <w:rFonts w:hint="eastAsia" w:ascii="宋体" w:hAnsi="宋体" w:cs="宋体"/>
                      <w:b/>
                      <w:snapToGrid w:val="0"/>
                      <w:kern w:val="0"/>
                      <w:sz w:val="24"/>
                      <w:highlight w:val="none"/>
                    </w:rPr>
                  </w:pPr>
                  <w:r>
                    <w:rPr>
                      <w:rFonts w:hint="eastAsia" w:ascii="宋体" w:hAnsi="宋体" w:cs="宋体"/>
                      <w:b/>
                      <w:snapToGrid w:val="0"/>
                      <w:kern w:val="0"/>
                      <w:sz w:val="24"/>
                      <w:highlight w:val="none"/>
                    </w:rPr>
                    <w:t>数量</w:t>
                  </w:r>
                </w:p>
              </w:tc>
              <w:tc>
                <w:tcPr>
                  <w:tcW w:w="1586" w:type="dxa"/>
                  <w:noWrap w:val="0"/>
                  <w:vAlign w:val="center"/>
                </w:tcPr>
                <w:p w14:paraId="1DC2A5DF">
                  <w:pPr>
                    <w:adjustRightInd w:val="0"/>
                    <w:snapToGrid w:val="0"/>
                    <w:jc w:val="center"/>
                    <w:rPr>
                      <w:rFonts w:hint="eastAsia" w:ascii="宋体" w:hAnsi="宋体" w:cs="宋体"/>
                      <w:b/>
                      <w:snapToGrid w:val="0"/>
                      <w:kern w:val="0"/>
                      <w:sz w:val="24"/>
                      <w:highlight w:val="none"/>
                    </w:rPr>
                  </w:pPr>
                  <w:r>
                    <w:rPr>
                      <w:rFonts w:hint="eastAsia" w:ascii="宋体" w:hAnsi="宋体" w:cs="宋体"/>
                      <w:b/>
                      <w:snapToGrid w:val="0"/>
                      <w:kern w:val="0"/>
                      <w:sz w:val="24"/>
                      <w:highlight w:val="none"/>
                    </w:rPr>
                    <w:t>预算金额</w:t>
                  </w:r>
                </w:p>
                <w:p w14:paraId="08B8B50D">
                  <w:pPr>
                    <w:adjustRightInd w:val="0"/>
                    <w:snapToGrid w:val="0"/>
                    <w:jc w:val="center"/>
                    <w:rPr>
                      <w:rFonts w:hint="eastAsia" w:ascii="宋体" w:hAnsi="宋体" w:cs="宋体"/>
                      <w:b/>
                      <w:snapToGrid w:val="0"/>
                      <w:kern w:val="0"/>
                      <w:sz w:val="24"/>
                      <w:highlight w:val="none"/>
                    </w:rPr>
                  </w:pPr>
                  <w:r>
                    <w:rPr>
                      <w:rFonts w:hint="eastAsia" w:ascii="宋体" w:hAnsi="宋体" w:cs="宋体"/>
                      <w:b/>
                      <w:snapToGrid w:val="0"/>
                      <w:kern w:val="0"/>
                      <w:sz w:val="24"/>
                      <w:highlight w:val="none"/>
                    </w:rPr>
                    <w:t>(万元)</w:t>
                  </w:r>
                </w:p>
              </w:tc>
              <w:tc>
                <w:tcPr>
                  <w:tcW w:w="1470" w:type="dxa"/>
                  <w:noWrap w:val="0"/>
                  <w:vAlign w:val="center"/>
                </w:tcPr>
                <w:p w14:paraId="7B51B980">
                  <w:pPr>
                    <w:widowControl/>
                    <w:adjustRightInd w:val="0"/>
                    <w:snapToGrid w:val="0"/>
                    <w:jc w:val="center"/>
                    <w:rPr>
                      <w:rFonts w:hint="eastAsia" w:ascii="宋体" w:hAnsi="宋体" w:cs="宋体"/>
                      <w:b/>
                      <w:snapToGrid w:val="0"/>
                      <w:kern w:val="0"/>
                      <w:sz w:val="24"/>
                      <w:highlight w:val="none"/>
                    </w:rPr>
                  </w:pPr>
                  <w:r>
                    <w:rPr>
                      <w:rFonts w:hint="eastAsia" w:ascii="宋体" w:hAnsi="宋体" w:cs="宋体"/>
                      <w:b/>
                      <w:snapToGrid w:val="0"/>
                      <w:kern w:val="0"/>
                      <w:sz w:val="24"/>
                      <w:highlight w:val="none"/>
                    </w:rPr>
                    <w:t>最高限价（万元）</w:t>
                  </w:r>
                </w:p>
              </w:tc>
            </w:tr>
            <w:tr w14:paraId="4951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701" w:type="dxa"/>
                  <w:noWrap w:val="0"/>
                  <w:vAlign w:val="center"/>
                </w:tcPr>
                <w:p w14:paraId="62BDAFDA">
                  <w:pPr>
                    <w:pStyle w:val="38"/>
                    <w:spacing w:line="360" w:lineRule="auto"/>
                    <w:ind w:left="0" w:leftChars="0" w:firstLine="0" w:firstLineChars="0"/>
                    <w:jc w:val="center"/>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lang w:val="en-US" w:eastAsia="zh-CN"/>
                    </w:rPr>
                    <w:t>B</w:t>
                  </w:r>
                </w:p>
              </w:tc>
              <w:tc>
                <w:tcPr>
                  <w:tcW w:w="2946" w:type="dxa"/>
                  <w:noWrap w:val="0"/>
                  <w:vAlign w:val="center"/>
                </w:tcPr>
                <w:p w14:paraId="297C8D9B">
                  <w:pPr>
                    <w:pStyle w:val="38"/>
                    <w:spacing w:line="360" w:lineRule="auto"/>
                    <w:ind w:left="0" w:leftChars="0" w:firstLine="0" w:firstLineChars="0"/>
                    <w:jc w:val="center"/>
                    <w:rPr>
                      <w:rFonts w:hint="eastAsia" w:ascii="宋体" w:hAnsi="宋体"/>
                      <w:sz w:val="24"/>
                      <w:highlight w:val="none"/>
                      <w:lang w:eastAsia="zh-CN"/>
                    </w:rPr>
                  </w:pPr>
                  <w:r>
                    <w:rPr>
                      <w:rFonts w:hint="eastAsia" w:ascii="宋体" w:hAnsi="宋体" w:eastAsia="宋体" w:cs="宋体"/>
                      <w:snapToGrid w:val="0"/>
                      <w:kern w:val="0"/>
                      <w:sz w:val="24"/>
                      <w:highlight w:val="none"/>
                      <w:lang w:eastAsia="zh-CN"/>
                    </w:rPr>
                    <w:t>消防控制室服务</w:t>
                  </w:r>
                </w:p>
              </w:tc>
              <w:tc>
                <w:tcPr>
                  <w:tcW w:w="793" w:type="dxa"/>
                  <w:noWrap w:val="0"/>
                  <w:vAlign w:val="center"/>
                </w:tcPr>
                <w:p w14:paraId="16DC45DD">
                  <w:pPr>
                    <w:jc w:val="center"/>
                    <w:rPr>
                      <w:rFonts w:hint="eastAsia" w:ascii="宋体" w:hAnsi="宋体" w:cs="宋体"/>
                      <w:snapToGrid w:val="0"/>
                      <w:kern w:val="0"/>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宗</w:t>
                  </w:r>
                </w:p>
              </w:tc>
              <w:tc>
                <w:tcPr>
                  <w:tcW w:w="1586" w:type="dxa"/>
                  <w:noWrap w:val="0"/>
                  <w:vAlign w:val="center"/>
                </w:tcPr>
                <w:p w14:paraId="3D6C05B8">
                  <w:pPr>
                    <w:widowControl/>
                    <w:spacing w:line="330" w:lineRule="atLeast"/>
                    <w:jc w:val="center"/>
                    <w:rPr>
                      <w:rFonts w:hint="eastAsia" w:ascii="宋体" w:hAnsi="宋体" w:eastAsia="宋体" w:cs="宋体"/>
                      <w:snapToGrid w:val="0"/>
                      <w:kern w:val="0"/>
                      <w:sz w:val="24"/>
                      <w:szCs w:val="24"/>
                      <w:highlight w:val="none"/>
                      <w:lang w:val="en-US" w:eastAsia="zh-CN"/>
                    </w:rPr>
                  </w:pPr>
                  <w:r>
                    <w:rPr>
                      <w:rFonts w:hint="eastAsia" w:ascii="宋体" w:hAnsi="宋体" w:cs="宋体"/>
                      <w:snapToGrid w:val="0"/>
                      <w:kern w:val="0"/>
                      <w:sz w:val="24"/>
                      <w:szCs w:val="24"/>
                      <w:highlight w:val="none"/>
                      <w:lang w:val="en-US" w:eastAsia="zh-CN"/>
                    </w:rPr>
                    <w:t>19.2</w:t>
                  </w:r>
                </w:p>
              </w:tc>
              <w:tc>
                <w:tcPr>
                  <w:tcW w:w="1470" w:type="dxa"/>
                  <w:noWrap w:val="0"/>
                  <w:vAlign w:val="center"/>
                </w:tcPr>
                <w:p w14:paraId="30F7A1C9">
                  <w:pPr>
                    <w:widowControl/>
                    <w:spacing w:line="330" w:lineRule="atLeast"/>
                    <w:jc w:val="center"/>
                    <w:rPr>
                      <w:rFonts w:hint="eastAsia" w:ascii="宋体" w:hAnsi="宋体" w:eastAsia="宋体" w:cs="宋体"/>
                      <w:snapToGrid w:val="0"/>
                      <w:kern w:val="0"/>
                      <w:sz w:val="24"/>
                      <w:szCs w:val="24"/>
                      <w:highlight w:val="none"/>
                      <w:lang w:val="en-US" w:eastAsia="zh-CN"/>
                    </w:rPr>
                  </w:pPr>
                  <w:r>
                    <w:rPr>
                      <w:rFonts w:hint="eastAsia" w:ascii="宋体" w:hAnsi="宋体" w:cs="宋体"/>
                      <w:snapToGrid w:val="0"/>
                      <w:kern w:val="0"/>
                      <w:sz w:val="24"/>
                      <w:szCs w:val="24"/>
                      <w:highlight w:val="none"/>
                    </w:rPr>
                    <w:t>19.2</w:t>
                  </w:r>
                </w:p>
              </w:tc>
            </w:tr>
          </w:tbl>
          <w:p w14:paraId="77C32FD3">
            <w:pPr>
              <w:pStyle w:val="30"/>
              <w:spacing w:line="360" w:lineRule="auto"/>
              <w:ind w:firstLine="241" w:firstLineChars="100"/>
              <w:rPr>
                <w:rFonts w:ascii="宋体" w:hAnsi="宋体"/>
                <w:highlight w:val="none"/>
              </w:rPr>
            </w:pPr>
            <w:r>
              <w:rPr>
                <w:rFonts w:hint="eastAsia" w:ascii="宋体" w:hAnsi="宋体" w:cs="宋体"/>
                <w:b/>
                <w:snapToGrid w:val="0"/>
                <w:szCs w:val="24"/>
                <w:highlight w:val="none"/>
              </w:rPr>
              <w:t>投标报价超过预算金额或最高限价的，按无效投标处理。</w:t>
            </w:r>
          </w:p>
        </w:tc>
      </w:tr>
      <w:tr w14:paraId="0C5AF0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16" w:hRule="atLeast"/>
          <w:jc w:val="center"/>
        </w:trPr>
        <w:tc>
          <w:tcPr>
            <w:tcW w:w="619" w:type="dxa"/>
            <w:noWrap w:val="0"/>
            <w:vAlign w:val="center"/>
          </w:tcPr>
          <w:p w14:paraId="3186153F">
            <w:pPr>
              <w:spacing w:line="360" w:lineRule="auto"/>
              <w:jc w:val="center"/>
              <w:rPr>
                <w:rFonts w:ascii="宋体" w:hAnsi="宋体"/>
                <w:sz w:val="24"/>
                <w:highlight w:val="none"/>
              </w:rPr>
            </w:pPr>
            <w:r>
              <w:rPr>
                <w:rFonts w:hint="eastAsia" w:ascii="宋体" w:hAnsi="宋体"/>
                <w:sz w:val="24"/>
                <w:highlight w:val="none"/>
              </w:rPr>
              <w:t>5</w:t>
            </w:r>
          </w:p>
        </w:tc>
        <w:tc>
          <w:tcPr>
            <w:tcW w:w="1504" w:type="dxa"/>
            <w:noWrap w:val="0"/>
            <w:vAlign w:val="center"/>
          </w:tcPr>
          <w:p w14:paraId="4B18E93E">
            <w:pPr>
              <w:spacing w:line="360" w:lineRule="auto"/>
              <w:jc w:val="center"/>
              <w:rPr>
                <w:rFonts w:ascii="宋体" w:hAnsi="宋体"/>
                <w:sz w:val="24"/>
                <w:highlight w:val="none"/>
              </w:rPr>
            </w:pPr>
            <w:r>
              <w:rPr>
                <w:rFonts w:hint="eastAsia" w:ascii="宋体" w:hAnsi="宋体" w:cs="宋体"/>
                <w:kern w:val="0"/>
                <w:sz w:val="24"/>
                <w:highlight w:val="none"/>
              </w:rPr>
              <w:t>供应商应提供的资格证明材料</w:t>
            </w:r>
          </w:p>
        </w:tc>
        <w:tc>
          <w:tcPr>
            <w:tcW w:w="8151" w:type="dxa"/>
            <w:noWrap w:val="0"/>
            <w:vAlign w:val="center"/>
          </w:tcPr>
          <w:p w14:paraId="1A9B7E4D">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供应商资格要求：</w:t>
            </w:r>
          </w:p>
          <w:p w14:paraId="52BBD8C1">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详见第一章招标公告。</w:t>
            </w:r>
          </w:p>
          <w:p w14:paraId="7021EF2D">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供应商应提供能够证明符合资格条件的下列材料：</w:t>
            </w:r>
          </w:p>
          <w:p w14:paraId="68493750">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（1）供应商须具有独立承担民事责任的能力，向采购人提供服务的法人、其他组织或自然人，须提供相关证明材料，其中：</w:t>
            </w:r>
          </w:p>
          <w:p w14:paraId="520B61C9">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供应商是企业（包括合伙企业）的，应提供其在工商部门注册的有效“企业法人营业执照”或“营业执照”的复印件；</w:t>
            </w:r>
          </w:p>
          <w:p w14:paraId="74B60991">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供应商是事业单位的，应提供其有效的“事业单位法人证书”复印件；</w:t>
            </w:r>
          </w:p>
          <w:p w14:paraId="0672275B">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供应商是非企业专业服务机构的，应提供其有效的执业许可证复印件；</w:t>
            </w:r>
          </w:p>
          <w:p w14:paraId="5B3B7B41">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供应商是个体工商户的，应提供其有效的“个体工商户营业执照”复印件；</w:t>
            </w:r>
          </w:p>
          <w:p w14:paraId="17D0C50B">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供应商是自然人的，应提供其有效的自然人身份证明。</w:t>
            </w:r>
          </w:p>
          <w:p w14:paraId="6B8A06DD">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（2）供应商须具有良好的商业信誉和健全的财务会计制度，须提供信用承诺函或相关证明材料。如提供证明材料，则：</w:t>
            </w:r>
          </w:p>
          <w:p w14:paraId="4CFCF03C">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供应商是法人的，应提供财务会计报表，或经审计的财务报告（包括资产负债表、利润表、现金流量表），或其基本开户银行出具的资信证明；</w:t>
            </w:r>
          </w:p>
          <w:p w14:paraId="706C6A43">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供应商是其他组织或自然人的，应提供银行出具的资信证明。</w:t>
            </w:r>
          </w:p>
          <w:p w14:paraId="4916AD1E">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 xml:space="preserve">（3）供应商须具有履行合同所必需的设备和专业技术能力，须附信用承诺函或相关证明材料。 </w:t>
            </w:r>
          </w:p>
          <w:p w14:paraId="3C1BDE49">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（4）供应商须具有依法缴纳税收和社会保障资金的良好记录，须提供信用承诺函或相关证明材料。如提供证明材料，则：</w:t>
            </w:r>
          </w:p>
          <w:p w14:paraId="24B3834A">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 xml:space="preserve"> 供应商是法人的，缴纳税收的证明材料，应提供开标前三个月内任意一个月的依法缴税凭据；</w:t>
            </w:r>
          </w:p>
          <w:p w14:paraId="7A0EC116">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供应商是法人的，缴纳社会保障资金的证明材料，应提供开标前三个月内任意一个月的缴纳社会保险的凭据；</w:t>
            </w:r>
          </w:p>
          <w:p w14:paraId="22BA378D">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供应商是其他组织和自然人的，需要提供开标前三个月内任意一个月的缴纳税收和社会保险的凭据。</w:t>
            </w:r>
          </w:p>
          <w:p w14:paraId="77B34C00">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 xml:space="preserve">  注：依法免税或不需要缴纳社会保障资金的供应商，须提供相应文件证明其依法免税或不需要缴纳社会保障资金。</w:t>
            </w:r>
          </w:p>
          <w:p w14:paraId="71C0863F">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（5）近三年内（本项目投标截止日前）供应商在经营活动中没有重大违法记录，供应商须提供书面声明或信用承诺函。其中：</w:t>
            </w:r>
          </w:p>
          <w:p w14:paraId="37B78322">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重大违法记录是指供应商因违法经营受到刑事处罚或者责令停产停业、吊销许可证或者执照、较大数额罚款等行政处罚。</w:t>
            </w:r>
          </w:p>
          <w:p w14:paraId="0CE5FA40">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6）供应商在“信用中国”、“信用山东”、“中国政府采购网”网站被列入失信被执行人、重大税收违法案件当事人名单的、政府采购严重违法失信行为记录名单（处罚期限尚未届满的）的，不得参与本项目的政府采购活动。</w:t>
            </w:r>
          </w:p>
          <w:p w14:paraId="56AAC142">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采购人或采购代理机构依法对供应商的资格进行审查时，将在“信用中国”、“信用山东”和“中国政府采购网”网站上对供应商进行查询并打印查询记录，查询截止时点为：本项目投标截止期当日。对经查询被“信用中国”网站、“信用山东”、“中国政府采购网”网站列入失信被执行人、重大税收违法案件当事人名单的、政府采购严重违法失信行为记录名单（处罚期限尚未届满的）的供应商，其投标将按无效投标处理。两个以上的自然人、法人或者其他组织组成一个联合体，以一个投标人的身份共同参加政府采购活动的，应当对所有联合体成员进行信用记录查询，联合体成员存在上述不良信用记录的，视同联合体存在不良信用记录，其投标将按无效投标处理。</w:t>
            </w:r>
          </w:p>
          <w:p w14:paraId="31BB1E89">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采购人或采购代理机构对于查询到的供应商失信行为事由、处理机关名称及处理日期、处理有效期间等，以屏幕截图的方式保存，并承诺查询记录仅用于本次采购活动过程中，不用于其他目的。供应商不良信用记录以采购人或采购代理机构现场查询结果为准，并如实记录查询情况。供应商自行提供的与网站信息不一致的其他证明材料亦不作为资格审查的依据。在本招标文件规定的查询时间之后，网站信息发生的任何变更均不再作为评标依据。</w:t>
            </w:r>
          </w:p>
          <w:p w14:paraId="4A5E260A">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（7）单位负责人为同一人或者存在直接控股、管理关系的不同供应商，不得参加同一包的投标或者未划分包的同一招标项目的投标，供应商须提供书面声明。</w:t>
            </w:r>
          </w:p>
          <w:p w14:paraId="7A4FB100">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（8）为采购项目提供过整体设计、规范编制或者项目管理、监理、检测等服务的供应商及其附属机构，不得再参加本采购项目的其他采购活动，供应商须提供书面声明。</w:t>
            </w:r>
          </w:p>
          <w:p w14:paraId="43E81FB0">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（9）</w:t>
            </w:r>
            <w:r>
              <w:rPr>
                <w:rFonts w:hint="eastAsia" w:ascii="宋体" w:hAnsi="宋体" w:cs="宋体"/>
                <w:b/>
                <w:bCs/>
                <w:kern w:val="0"/>
                <w:sz w:val="24"/>
                <w:highlight w:val="none"/>
                <w:lang w:eastAsia="zh-CN"/>
              </w:rPr>
              <w:t>参与B包的供应商须符合应急管理部关于印发《消防技术服务机构从业条件》规定，在社会消防技术服务信息系统中依规登记备案。</w:t>
            </w:r>
          </w:p>
          <w:p w14:paraId="2F65D460">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（1</w:t>
            </w:r>
            <w:r>
              <w:rPr>
                <w:rFonts w:hint="eastAsia" w:ascii="宋体" w:hAnsi="宋体" w:cs="宋体"/>
                <w:kern w:val="0"/>
                <w:sz w:val="24"/>
                <w:highlight w:val="none"/>
                <w:lang w:val="en-US" w:eastAsia="zh-CN"/>
              </w:rPr>
              <w:t>0</w:t>
            </w:r>
            <w:r>
              <w:rPr>
                <w:rFonts w:hint="eastAsia" w:ascii="宋体" w:hAnsi="宋体" w:cs="宋体"/>
                <w:kern w:val="0"/>
                <w:sz w:val="24"/>
                <w:highlight w:val="none"/>
              </w:rPr>
              <w:t>）供应商符合法律法规规定的其它要求。</w:t>
            </w:r>
          </w:p>
        </w:tc>
      </w:tr>
      <w:tr w14:paraId="1D37B0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16" w:hRule="atLeast"/>
          <w:jc w:val="center"/>
        </w:trPr>
        <w:tc>
          <w:tcPr>
            <w:tcW w:w="619" w:type="dxa"/>
            <w:noWrap w:val="0"/>
            <w:vAlign w:val="center"/>
          </w:tcPr>
          <w:p w14:paraId="53AE935F">
            <w:pPr>
              <w:spacing w:line="360" w:lineRule="auto"/>
              <w:jc w:val="center"/>
              <w:rPr>
                <w:rFonts w:ascii="宋体" w:hAnsi="宋体"/>
                <w:sz w:val="24"/>
                <w:highlight w:val="none"/>
              </w:rPr>
            </w:pPr>
            <w:r>
              <w:rPr>
                <w:rFonts w:hint="eastAsia" w:ascii="宋体" w:hAnsi="宋体"/>
                <w:sz w:val="24"/>
                <w:highlight w:val="none"/>
              </w:rPr>
              <w:t>6</w:t>
            </w:r>
          </w:p>
        </w:tc>
        <w:tc>
          <w:tcPr>
            <w:tcW w:w="1504" w:type="dxa"/>
            <w:noWrap w:val="0"/>
            <w:vAlign w:val="center"/>
          </w:tcPr>
          <w:p w14:paraId="05BDD422">
            <w:pPr>
              <w:snapToGrid w:val="0"/>
              <w:spacing w:line="360" w:lineRule="auto"/>
              <w:jc w:val="center"/>
              <w:rPr>
                <w:rFonts w:ascii="宋体" w:hAnsi="宋体"/>
                <w:sz w:val="24"/>
                <w:highlight w:val="none"/>
              </w:rPr>
            </w:pPr>
            <w:r>
              <w:rPr>
                <w:rFonts w:hint="eastAsia" w:ascii="宋体" w:hAnsi="宋体"/>
                <w:sz w:val="24"/>
                <w:highlight w:val="none"/>
              </w:rPr>
              <w:t>对招标文件的疑问</w:t>
            </w:r>
          </w:p>
        </w:tc>
        <w:tc>
          <w:tcPr>
            <w:tcW w:w="8151" w:type="dxa"/>
            <w:noWrap w:val="0"/>
            <w:vAlign w:val="center"/>
          </w:tcPr>
          <w:p w14:paraId="644B77D1">
            <w:pPr>
              <w:snapToGrid w:val="0"/>
              <w:spacing w:line="360" w:lineRule="auto"/>
              <w:ind w:firstLine="480" w:firstLineChars="200"/>
              <w:rPr>
                <w:rFonts w:hint="eastAsia" w:ascii="宋体" w:hAnsi="宋体"/>
                <w:sz w:val="24"/>
                <w:highlight w:val="none"/>
              </w:rPr>
            </w:pPr>
            <w:r>
              <w:rPr>
                <w:rFonts w:hint="eastAsia" w:ascii="宋体" w:hAnsi="宋体"/>
                <w:sz w:val="24"/>
                <w:highlight w:val="none"/>
              </w:rPr>
              <w:t>提交疑问时间：投标截止时间16天前。</w:t>
            </w:r>
          </w:p>
          <w:p w14:paraId="190D8928">
            <w:pPr>
              <w:snapToGrid w:val="0"/>
              <w:spacing w:line="360" w:lineRule="auto"/>
              <w:ind w:firstLine="480" w:firstLineChars="200"/>
              <w:rPr>
                <w:rFonts w:ascii="宋体" w:hAnsi="宋体"/>
                <w:sz w:val="24"/>
                <w:highlight w:val="none"/>
              </w:rPr>
            </w:pPr>
            <w:r>
              <w:rPr>
                <w:rFonts w:hint="eastAsia" w:ascii="宋体" w:hAnsi="宋体" w:cs="宋体"/>
                <w:sz w:val="24"/>
                <w:highlight w:val="none"/>
              </w:rPr>
              <w:t>发电子邮件至huangzechun@sdhyha.com（word文档及加盖公章的扫描件各一份）。</w:t>
            </w:r>
          </w:p>
        </w:tc>
      </w:tr>
      <w:tr w14:paraId="613F19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16" w:hRule="atLeast"/>
          <w:jc w:val="center"/>
        </w:trPr>
        <w:tc>
          <w:tcPr>
            <w:tcW w:w="619" w:type="dxa"/>
            <w:noWrap w:val="0"/>
            <w:vAlign w:val="center"/>
          </w:tcPr>
          <w:p w14:paraId="147B8C34">
            <w:pPr>
              <w:spacing w:line="360" w:lineRule="auto"/>
              <w:jc w:val="center"/>
              <w:rPr>
                <w:rFonts w:ascii="宋体" w:hAnsi="宋体"/>
                <w:sz w:val="24"/>
                <w:highlight w:val="none"/>
              </w:rPr>
            </w:pPr>
            <w:r>
              <w:rPr>
                <w:rFonts w:hint="eastAsia" w:ascii="宋体" w:hAnsi="宋体"/>
                <w:sz w:val="24"/>
                <w:highlight w:val="none"/>
              </w:rPr>
              <w:t>7</w:t>
            </w:r>
          </w:p>
        </w:tc>
        <w:tc>
          <w:tcPr>
            <w:tcW w:w="1504" w:type="dxa"/>
            <w:noWrap w:val="0"/>
            <w:vAlign w:val="center"/>
          </w:tcPr>
          <w:p w14:paraId="1DAEBB88">
            <w:pPr>
              <w:snapToGrid w:val="0"/>
              <w:spacing w:line="360" w:lineRule="auto"/>
              <w:jc w:val="center"/>
              <w:rPr>
                <w:rFonts w:hint="eastAsia" w:ascii="宋体" w:hAnsi="宋体"/>
                <w:sz w:val="24"/>
                <w:highlight w:val="none"/>
              </w:rPr>
            </w:pPr>
            <w:r>
              <w:rPr>
                <w:rFonts w:hint="eastAsia" w:ascii="宋体" w:hAnsi="宋体"/>
                <w:snapToGrid w:val="0"/>
                <w:kern w:val="0"/>
                <w:sz w:val="24"/>
                <w:highlight w:val="none"/>
              </w:rPr>
              <w:t>招标文件澄清</w:t>
            </w:r>
          </w:p>
        </w:tc>
        <w:tc>
          <w:tcPr>
            <w:tcW w:w="8151" w:type="dxa"/>
            <w:noWrap w:val="0"/>
            <w:vAlign w:val="center"/>
          </w:tcPr>
          <w:p w14:paraId="529E9277">
            <w:pPr>
              <w:pStyle w:val="30"/>
              <w:spacing w:line="360" w:lineRule="auto"/>
              <w:ind w:firstLine="480" w:firstLineChars="200"/>
              <w:rPr>
                <w:rFonts w:hint="eastAsia" w:ascii="宋体" w:hAnsi="宋体" w:cs="宋体"/>
                <w:szCs w:val="24"/>
                <w:highlight w:val="none"/>
              </w:rPr>
            </w:pPr>
            <w:r>
              <w:rPr>
                <w:rFonts w:hint="eastAsia" w:ascii="宋体" w:hAnsi="宋体" w:cs="宋体"/>
                <w:szCs w:val="24"/>
                <w:highlight w:val="none"/>
              </w:rPr>
              <w:t>本采购项目的变更、修改、澄清</w:t>
            </w:r>
            <w:bookmarkStart w:id="154" w:name="_GoBack"/>
            <w:bookmarkEnd w:id="154"/>
            <w:r>
              <w:rPr>
                <w:rFonts w:hint="eastAsia" w:ascii="宋体" w:hAnsi="宋体" w:cs="宋体"/>
                <w:szCs w:val="24"/>
                <w:highlight w:val="none"/>
              </w:rPr>
              <w:t>等内容均在“</w:t>
            </w:r>
            <w:r>
              <w:rPr>
                <w:rFonts w:hint="eastAsia" w:ascii="宋体" w:hAnsi="宋体" w:cs="宋体"/>
                <w:szCs w:val="24"/>
                <w:highlight w:val="none"/>
                <w:lang w:eastAsia="zh-CN"/>
              </w:rPr>
              <w:t>泰安市公共资源交易中心官网</w:t>
            </w:r>
            <w:r>
              <w:rPr>
                <w:rFonts w:hint="eastAsia" w:ascii="宋体" w:hAnsi="宋体" w:cs="宋体"/>
                <w:szCs w:val="24"/>
                <w:highlight w:val="none"/>
              </w:rPr>
              <w:t>”发布。相关内容一经在“</w:t>
            </w:r>
            <w:r>
              <w:rPr>
                <w:rFonts w:hint="eastAsia" w:ascii="宋体" w:hAnsi="宋体" w:cs="宋体"/>
                <w:szCs w:val="24"/>
                <w:highlight w:val="none"/>
                <w:lang w:eastAsia="zh-CN"/>
              </w:rPr>
              <w:t>泰安市公共资源交易中心官网</w:t>
            </w:r>
            <w:r>
              <w:rPr>
                <w:rFonts w:hint="eastAsia" w:ascii="宋体" w:hAnsi="宋体" w:cs="宋体"/>
                <w:szCs w:val="24"/>
                <w:highlight w:val="none"/>
              </w:rPr>
              <w:t>”发布，视作已发放给所有潜在投标人。各潜在投标人应随时关注并及时自行查阅网站信息，未按要求查阅者自行承担相应后果。</w:t>
            </w:r>
          </w:p>
        </w:tc>
      </w:tr>
      <w:tr w14:paraId="6572E5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16" w:hRule="atLeast"/>
          <w:jc w:val="center"/>
        </w:trPr>
        <w:tc>
          <w:tcPr>
            <w:tcW w:w="619" w:type="dxa"/>
            <w:noWrap w:val="0"/>
            <w:vAlign w:val="center"/>
          </w:tcPr>
          <w:p w14:paraId="389491E9">
            <w:pPr>
              <w:spacing w:line="360" w:lineRule="auto"/>
              <w:jc w:val="center"/>
              <w:rPr>
                <w:rFonts w:ascii="宋体" w:hAnsi="宋体"/>
                <w:sz w:val="24"/>
                <w:highlight w:val="none"/>
              </w:rPr>
            </w:pPr>
            <w:r>
              <w:rPr>
                <w:rFonts w:hint="eastAsia" w:ascii="宋体" w:hAnsi="宋体"/>
                <w:sz w:val="24"/>
                <w:highlight w:val="none"/>
              </w:rPr>
              <w:t>8</w:t>
            </w:r>
          </w:p>
        </w:tc>
        <w:tc>
          <w:tcPr>
            <w:tcW w:w="1504" w:type="dxa"/>
            <w:noWrap w:val="0"/>
            <w:vAlign w:val="center"/>
          </w:tcPr>
          <w:p w14:paraId="6FF27230">
            <w:pPr>
              <w:pStyle w:val="30"/>
              <w:spacing w:after="0" w:line="360" w:lineRule="auto"/>
              <w:rPr>
                <w:rFonts w:ascii="宋体" w:hAnsi="宋体"/>
                <w:kern w:val="2"/>
                <w:szCs w:val="24"/>
                <w:highlight w:val="none"/>
              </w:rPr>
            </w:pPr>
            <w:r>
              <w:rPr>
                <w:rFonts w:ascii="宋体" w:hAnsi="宋体"/>
                <w:kern w:val="2"/>
                <w:szCs w:val="24"/>
                <w:highlight w:val="none"/>
              </w:rPr>
              <w:t>投标</w:t>
            </w:r>
            <w:r>
              <w:rPr>
                <w:rFonts w:hint="eastAsia" w:ascii="宋体" w:hAnsi="宋体"/>
                <w:kern w:val="2"/>
                <w:szCs w:val="24"/>
                <w:highlight w:val="none"/>
              </w:rPr>
              <w:t>文件制作</w:t>
            </w:r>
          </w:p>
        </w:tc>
        <w:tc>
          <w:tcPr>
            <w:tcW w:w="8151" w:type="dxa"/>
            <w:noWrap w:val="0"/>
            <w:vAlign w:val="center"/>
          </w:tcPr>
          <w:p w14:paraId="395351DF">
            <w:pPr>
              <w:pStyle w:val="30"/>
              <w:adjustRightInd w:val="0"/>
              <w:snapToGrid w:val="0"/>
              <w:spacing w:after="0" w:line="360" w:lineRule="auto"/>
              <w:ind w:firstLine="602" w:firstLineChars="250"/>
              <w:rPr>
                <w:rFonts w:ascii="宋体" w:hAnsi="宋体"/>
                <w:kern w:val="2"/>
                <w:szCs w:val="24"/>
                <w:highlight w:val="none"/>
              </w:rPr>
            </w:pPr>
            <w:r>
              <w:rPr>
                <w:rFonts w:hint="eastAsia" w:ascii="宋体" w:hAnsi="宋体"/>
                <w:b/>
                <w:kern w:val="2"/>
                <w:highlight w:val="none"/>
              </w:rPr>
              <w:t>参与投标的供应商使用【</w:t>
            </w:r>
            <w:r>
              <w:rPr>
                <w:rFonts w:hint="eastAsia" w:ascii="宋体" w:hAnsi="宋体"/>
                <w:b/>
                <w:kern w:val="2"/>
                <w:highlight w:val="none"/>
                <w:lang w:val="en-US" w:eastAsia="zh-CN"/>
              </w:rPr>
              <w:t>泰安市</w:t>
            </w:r>
            <w:r>
              <w:rPr>
                <w:rFonts w:hint="eastAsia" w:ascii="宋体" w:hAnsi="宋体"/>
                <w:b/>
                <w:kern w:val="2"/>
                <w:highlight w:val="none"/>
              </w:rPr>
              <w:t>公共资源投标文件制作工具】编制电子投标文件。</w:t>
            </w:r>
          </w:p>
        </w:tc>
      </w:tr>
      <w:tr w14:paraId="3E5E00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16" w:hRule="atLeast"/>
          <w:jc w:val="center"/>
        </w:trPr>
        <w:tc>
          <w:tcPr>
            <w:tcW w:w="619" w:type="dxa"/>
            <w:noWrap w:val="0"/>
            <w:vAlign w:val="center"/>
          </w:tcPr>
          <w:p w14:paraId="4F867CAD">
            <w:pPr>
              <w:spacing w:line="360" w:lineRule="auto"/>
              <w:jc w:val="center"/>
              <w:rPr>
                <w:rFonts w:ascii="宋体" w:hAnsi="宋体"/>
                <w:sz w:val="24"/>
                <w:highlight w:val="none"/>
              </w:rPr>
            </w:pPr>
            <w:r>
              <w:rPr>
                <w:rFonts w:hint="eastAsia" w:ascii="宋体" w:hAnsi="宋体"/>
                <w:sz w:val="24"/>
                <w:highlight w:val="none"/>
              </w:rPr>
              <w:t>9</w:t>
            </w:r>
          </w:p>
        </w:tc>
        <w:tc>
          <w:tcPr>
            <w:tcW w:w="1504" w:type="dxa"/>
            <w:noWrap w:val="0"/>
            <w:vAlign w:val="center"/>
          </w:tcPr>
          <w:p w14:paraId="717A1BBF">
            <w:pPr>
              <w:spacing w:line="360" w:lineRule="auto"/>
              <w:jc w:val="center"/>
              <w:rPr>
                <w:rFonts w:ascii="宋体" w:hAnsi="宋体"/>
                <w:sz w:val="24"/>
                <w:highlight w:val="none"/>
              </w:rPr>
            </w:pPr>
            <w:r>
              <w:rPr>
                <w:rFonts w:hint="eastAsia" w:ascii="宋体" w:hAnsi="宋体"/>
                <w:sz w:val="24"/>
                <w:highlight w:val="none"/>
              </w:rPr>
              <w:t>投标文件的签署</w:t>
            </w:r>
          </w:p>
        </w:tc>
        <w:tc>
          <w:tcPr>
            <w:tcW w:w="8151" w:type="dxa"/>
            <w:noWrap w:val="0"/>
            <w:vAlign w:val="center"/>
          </w:tcPr>
          <w:p w14:paraId="4B43E883">
            <w:pPr>
              <w:pStyle w:val="30"/>
              <w:spacing w:after="0" w:line="360" w:lineRule="auto"/>
              <w:ind w:firstLine="602" w:firstLineChars="250"/>
              <w:rPr>
                <w:rFonts w:ascii="宋体" w:hAnsi="宋体"/>
                <w:snapToGrid w:val="0"/>
                <w:highlight w:val="none"/>
              </w:rPr>
            </w:pPr>
            <w:r>
              <w:rPr>
                <w:rFonts w:hint="eastAsia" w:ascii="宋体" w:hAnsi="宋体"/>
                <w:b/>
                <w:bCs/>
                <w:szCs w:val="24"/>
                <w:highlight w:val="none"/>
              </w:rPr>
              <w:t>投标函、开标一览表以及招标文件格式要求中注明需盖章的资料</w:t>
            </w:r>
            <w:r>
              <w:rPr>
                <w:rFonts w:hint="eastAsia" w:ascii="宋体" w:hAnsi="宋体"/>
                <w:szCs w:val="24"/>
                <w:highlight w:val="none"/>
              </w:rPr>
              <w:t>均应按要求签署。</w:t>
            </w:r>
          </w:p>
          <w:p w14:paraId="52F19074">
            <w:pPr>
              <w:pStyle w:val="30"/>
              <w:spacing w:after="0" w:line="360" w:lineRule="auto"/>
              <w:ind w:firstLine="600" w:firstLineChars="250"/>
              <w:rPr>
                <w:rFonts w:ascii="宋体" w:hAnsi="宋体"/>
                <w:highlight w:val="none"/>
              </w:rPr>
            </w:pPr>
            <w:r>
              <w:rPr>
                <w:rFonts w:ascii="宋体" w:hAnsi="宋体"/>
                <w:highlight w:val="none"/>
              </w:rPr>
              <w:t>在</w:t>
            </w:r>
            <w:r>
              <w:rPr>
                <w:rFonts w:hint="eastAsia" w:ascii="宋体" w:hAnsi="宋体"/>
                <w:highlight w:val="none"/>
              </w:rPr>
              <w:t>招标</w:t>
            </w:r>
            <w:r>
              <w:rPr>
                <w:rFonts w:ascii="宋体" w:hAnsi="宋体"/>
                <w:highlight w:val="none"/>
              </w:rPr>
              <w:t xml:space="preserve">文件的标示的 “公章”“印章”处，分别签单位公章、个人印章。操作详见“济南公共资源交易中心&gt;首页&gt; </w:t>
            </w:r>
            <w:r>
              <w:rPr>
                <w:rFonts w:hint="eastAsia" w:ascii="宋体" w:hAnsi="宋体"/>
                <w:highlight w:val="none"/>
                <w:lang w:val="en-US" w:eastAsia="zh-CN"/>
              </w:rPr>
              <w:t>交易指南</w:t>
            </w:r>
            <w:r>
              <w:rPr>
                <w:rFonts w:ascii="宋体" w:hAnsi="宋体"/>
                <w:highlight w:val="none"/>
              </w:rPr>
              <w:t>&gt; 下载中心&gt; 系统使用指南&gt;”。</w:t>
            </w:r>
          </w:p>
          <w:p w14:paraId="092C653E">
            <w:pPr>
              <w:spacing w:line="360" w:lineRule="auto"/>
              <w:ind w:firstLine="482" w:firstLineChars="200"/>
              <w:rPr>
                <w:rFonts w:ascii="宋体" w:hAnsi="宋体"/>
                <w:b/>
                <w:bCs/>
                <w:sz w:val="24"/>
                <w:highlight w:val="none"/>
              </w:rPr>
            </w:pPr>
            <w:r>
              <w:rPr>
                <w:rFonts w:hint="eastAsia" w:ascii="宋体" w:hAnsi="宋体"/>
                <w:b/>
                <w:bCs/>
                <w:sz w:val="24"/>
                <w:highlight w:val="none"/>
              </w:rPr>
              <w:t>电子签名：</w:t>
            </w:r>
          </w:p>
          <w:p w14:paraId="083683EC">
            <w:pPr>
              <w:spacing w:line="360" w:lineRule="auto"/>
              <w:ind w:firstLine="480" w:firstLineChars="200"/>
              <w:rPr>
                <w:rFonts w:ascii="宋体" w:hAnsi="宋体"/>
                <w:sz w:val="24"/>
                <w:highlight w:val="none"/>
              </w:rPr>
            </w:pPr>
            <w:r>
              <w:rPr>
                <w:rFonts w:hint="eastAsia" w:ascii="宋体" w:hAnsi="宋体"/>
                <w:kern w:val="0"/>
                <w:sz w:val="24"/>
                <w:szCs w:val="20"/>
                <w:highlight w:val="none"/>
              </w:rPr>
              <w:t>可靠的电子签名与手写签名或者盖章具有同等的法律效力。电子签章是电子签名的一种表现形式，利用图像处理技术将电子签名操作转化为与纸质文件盖章操作相同的可视效果。</w:t>
            </w:r>
          </w:p>
        </w:tc>
      </w:tr>
      <w:tr w14:paraId="44529C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16" w:hRule="atLeast"/>
          <w:jc w:val="center"/>
        </w:trPr>
        <w:tc>
          <w:tcPr>
            <w:tcW w:w="619" w:type="dxa"/>
            <w:noWrap w:val="0"/>
            <w:vAlign w:val="center"/>
          </w:tcPr>
          <w:p w14:paraId="2245206A">
            <w:pPr>
              <w:spacing w:line="360" w:lineRule="auto"/>
              <w:jc w:val="center"/>
              <w:rPr>
                <w:rFonts w:ascii="宋体" w:hAnsi="宋体"/>
                <w:sz w:val="24"/>
                <w:highlight w:val="none"/>
              </w:rPr>
            </w:pPr>
            <w:r>
              <w:rPr>
                <w:rFonts w:ascii="宋体" w:hAnsi="宋体"/>
                <w:sz w:val="24"/>
                <w:highlight w:val="none"/>
              </w:rPr>
              <w:t>1</w:t>
            </w:r>
            <w:r>
              <w:rPr>
                <w:rFonts w:hint="eastAsia" w:ascii="宋体" w:hAnsi="宋体"/>
                <w:sz w:val="24"/>
                <w:highlight w:val="none"/>
              </w:rPr>
              <w:t>0</w:t>
            </w:r>
          </w:p>
        </w:tc>
        <w:tc>
          <w:tcPr>
            <w:tcW w:w="1504" w:type="dxa"/>
            <w:noWrap w:val="0"/>
            <w:vAlign w:val="center"/>
          </w:tcPr>
          <w:p w14:paraId="08B0443C">
            <w:pPr>
              <w:pStyle w:val="30"/>
              <w:spacing w:after="0" w:line="360" w:lineRule="auto"/>
              <w:jc w:val="center"/>
              <w:rPr>
                <w:rFonts w:ascii="宋体" w:hAnsi="宋体"/>
                <w:kern w:val="2"/>
                <w:szCs w:val="24"/>
                <w:highlight w:val="none"/>
              </w:rPr>
            </w:pPr>
            <w:r>
              <w:rPr>
                <w:rFonts w:hint="eastAsia" w:ascii="宋体" w:hAnsi="宋体"/>
                <w:highlight w:val="none"/>
              </w:rPr>
              <w:t>投标文件的上传</w:t>
            </w:r>
          </w:p>
        </w:tc>
        <w:tc>
          <w:tcPr>
            <w:tcW w:w="8151" w:type="dxa"/>
            <w:noWrap w:val="0"/>
            <w:vAlign w:val="center"/>
          </w:tcPr>
          <w:p w14:paraId="61D47BE2">
            <w:pPr>
              <w:pStyle w:val="30"/>
              <w:spacing w:after="0" w:line="360" w:lineRule="auto"/>
              <w:ind w:firstLine="600" w:firstLineChars="250"/>
              <w:rPr>
                <w:rFonts w:hint="eastAsia" w:ascii="宋体" w:hAnsi="宋体"/>
                <w:kern w:val="2"/>
                <w:szCs w:val="24"/>
                <w:highlight w:val="none"/>
              </w:rPr>
            </w:pPr>
            <w:r>
              <w:rPr>
                <w:rFonts w:hint="eastAsia" w:ascii="宋体" w:hAnsi="宋体"/>
                <w:kern w:val="2"/>
                <w:szCs w:val="24"/>
                <w:highlight w:val="none"/>
              </w:rPr>
              <w:t>1、投标人在开标截止时间前,打开泰安市公共资源交易网（http://www.taggzyjy.com.cn/）并登录会员系统，上传加密的投标文件。</w:t>
            </w:r>
          </w:p>
          <w:p w14:paraId="4C3C76DB">
            <w:pPr>
              <w:pStyle w:val="30"/>
              <w:spacing w:after="0" w:line="360" w:lineRule="auto"/>
              <w:ind w:firstLine="600" w:firstLineChars="250"/>
              <w:rPr>
                <w:rFonts w:ascii="宋体" w:hAnsi="宋体"/>
                <w:kern w:val="2"/>
                <w:szCs w:val="24"/>
                <w:highlight w:val="none"/>
              </w:rPr>
            </w:pPr>
            <w:r>
              <w:rPr>
                <w:rFonts w:hint="eastAsia" w:ascii="宋体" w:hAnsi="宋体"/>
                <w:kern w:val="2"/>
                <w:szCs w:val="24"/>
                <w:highlight w:val="none"/>
              </w:rPr>
              <w:t>2、在“上传投标文件”模块中上传加密的投标文件（格式为TATF，用最新的答疑、澄清文件制作的投标文件为准）。</w:t>
            </w:r>
          </w:p>
        </w:tc>
      </w:tr>
      <w:tr w14:paraId="139C93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5" w:hRule="atLeast"/>
          <w:jc w:val="center"/>
        </w:trPr>
        <w:tc>
          <w:tcPr>
            <w:tcW w:w="619" w:type="dxa"/>
            <w:noWrap w:val="0"/>
            <w:vAlign w:val="center"/>
          </w:tcPr>
          <w:p w14:paraId="72E92969">
            <w:pPr>
              <w:spacing w:line="360" w:lineRule="auto"/>
              <w:jc w:val="center"/>
              <w:rPr>
                <w:rFonts w:ascii="宋体" w:hAnsi="宋体"/>
                <w:sz w:val="24"/>
                <w:highlight w:val="none"/>
              </w:rPr>
            </w:pPr>
            <w:r>
              <w:rPr>
                <w:rFonts w:ascii="宋体" w:hAnsi="宋体"/>
                <w:sz w:val="24"/>
                <w:highlight w:val="none"/>
              </w:rPr>
              <w:t>1</w:t>
            </w:r>
            <w:r>
              <w:rPr>
                <w:rFonts w:hint="eastAsia" w:ascii="宋体" w:hAnsi="宋体"/>
                <w:sz w:val="24"/>
                <w:highlight w:val="none"/>
              </w:rPr>
              <w:t>1</w:t>
            </w:r>
          </w:p>
        </w:tc>
        <w:tc>
          <w:tcPr>
            <w:tcW w:w="1504" w:type="dxa"/>
            <w:noWrap w:val="0"/>
            <w:vAlign w:val="center"/>
          </w:tcPr>
          <w:p w14:paraId="00EC40DB">
            <w:pPr>
              <w:spacing w:line="360" w:lineRule="auto"/>
              <w:jc w:val="center"/>
              <w:rPr>
                <w:rFonts w:ascii="宋体" w:hAnsi="宋体"/>
                <w:sz w:val="24"/>
                <w:highlight w:val="none"/>
              </w:rPr>
            </w:pPr>
            <w:r>
              <w:rPr>
                <w:rFonts w:hint="eastAsia" w:ascii="宋体" w:hAnsi="宋体"/>
                <w:sz w:val="24"/>
                <w:highlight w:val="none"/>
              </w:rPr>
              <w:t>投标保证金</w:t>
            </w:r>
          </w:p>
        </w:tc>
        <w:tc>
          <w:tcPr>
            <w:tcW w:w="8151" w:type="dxa"/>
            <w:noWrap w:val="0"/>
            <w:vAlign w:val="center"/>
          </w:tcPr>
          <w:p w14:paraId="690C33ED">
            <w:pPr>
              <w:spacing w:line="360" w:lineRule="auto"/>
              <w:ind w:firstLine="523" w:firstLineChars="218"/>
              <w:rPr>
                <w:rFonts w:ascii="宋体" w:hAnsi="宋体"/>
                <w:b/>
                <w:sz w:val="24"/>
                <w:highlight w:val="none"/>
              </w:rPr>
            </w:pPr>
            <w:r>
              <w:rPr>
                <w:rFonts w:hint="eastAsia" w:ascii="宋体" w:hAnsi="宋体"/>
                <w:snapToGrid w:val="0"/>
                <w:sz w:val="24"/>
                <w:highlight w:val="none"/>
              </w:rPr>
              <w:t>无</w:t>
            </w:r>
          </w:p>
        </w:tc>
      </w:tr>
      <w:tr w14:paraId="2E06D9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4" w:hRule="atLeast"/>
          <w:jc w:val="center"/>
        </w:trPr>
        <w:tc>
          <w:tcPr>
            <w:tcW w:w="619" w:type="dxa"/>
            <w:noWrap w:val="0"/>
            <w:vAlign w:val="center"/>
          </w:tcPr>
          <w:p w14:paraId="56D30162">
            <w:pPr>
              <w:spacing w:line="360" w:lineRule="auto"/>
              <w:jc w:val="center"/>
              <w:rPr>
                <w:rFonts w:ascii="宋体" w:hAnsi="宋体"/>
                <w:sz w:val="24"/>
                <w:highlight w:val="none"/>
              </w:rPr>
            </w:pPr>
            <w:r>
              <w:rPr>
                <w:rFonts w:ascii="宋体" w:hAnsi="宋体"/>
                <w:sz w:val="24"/>
                <w:highlight w:val="none"/>
              </w:rPr>
              <w:t>1</w:t>
            </w:r>
            <w:r>
              <w:rPr>
                <w:rFonts w:hint="eastAsia" w:ascii="宋体" w:hAnsi="宋体"/>
                <w:sz w:val="24"/>
                <w:highlight w:val="none"/>
              </w:rPr>
              <w:t>2</w:t>
            </w:r>
          </w:p>
        </w:tc>
        <w:tc>
          <w:tcPr>
            <w:tcW w:w="1504" w:type="dxa"/>
            <w:noWrap w:val="0"/>
            <w:vAlign w:val="center"/>
          </w:tcPr>
          <w:p w14:paraId="3919A5AD">
            <w:pPr>
              <w:spacing w:line="360" w:lineRule="auto"/>
              <w:jc w:val="center"/>
              <w:rPr>
                <w:rFonts w:ascii="宋体" w:hAnsi="宋体"/>
                <w:sz w:val="24"/>
                <w:highlight w:val="none"/>
              </w:rPr>
            </w:pPr>
            <w:r>
              <w:rPr>
                <w:rFonts w:hint="eastAsia" w:ascii="宋体" w:hAnsi="宋体"/>
                <w:sz w:val="24"/>
                <w:highlight w:val="none"/>
              </w:rPr>
              <w:t>投标有效期</w:t>
            </w:r>
          </w:p>
        </w:tc>
        <w:tc>
          <w:tcPr>
            <w:tcW w:w="8151" w:type="dxa"/>
            <w:noWrap w:val="0"/>
            <w:vAlign w:val="center"/>
          </w:tcPr>
          <w:p w14:paraId="69870729">
            <w:pPr>
              <w:spacing w:line="360" w:lineRule="auto"/>
              <w:ind w:firstLine="523" w:firstLineChars="218"/>
              <w:rPr>
                <w:rFonts w:ascii="宋体" w:hAnsi="宋体"/>
                <w:sz w:val="24"/>
                <w:highlight w:val="none"/>
              </w:rPr>
            </w:pPr>
            <w:r>
              <w:rPr>
                <w:rFonts w:hint="eastAsia" w:ascii="宋体" w:hAnsi="宋体"/>
                <w:sz w:val="24"/>
                <w:highlight w:val="none"/>
              </w:rPr>
              <w:t>自投标截止之日起</w:t>
            </w:r>
            <w:r>
              <w:rPr>
                <w:rFonts w:ascii="宋体" w:hAnsi="宋体"/>
                <w:sz w:val="24"/>
                <w:highlight w:val="none"/>
                <w:u w:val="single"/>
              </w:rPr>
              <w:t>90</w:t>
            </w:r>
            <w:r>
              <w:rPr>
                <w:rFonts w:hint="eastAsia" w:ascii="宋体" w:hAnsi="宋体"/>
                <w:sz w:val="24"/>
                <w:highlight w:val="none"/>
              </w:rPr>
              <w:t>日历天</w:t>
            </w:r>
          </w:p>
        </w:tc>
      </w:tr>
      <w:tr w14:paraId="59E776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99" w:hRule="atLeast"/>
          <w:jc w:val="center"/>
        </w:trPr>
        <w:tc>
          <w:tcPr>
            <w:tcW w:w="619" w:type="dxa"/>
            <w:noWrap w:val="0"/>
            <w:vAlign w:val="center"/>
          </w:tcPr>
          <w:p w14:paraId="46DF0C96">
            <w:pPr>
              <w:spacing w:line="360" w:lineRule="auto"/>
              <w:jc w:val="center"/>
              <w:rPr>
                <w:rFonts w:ascii="宋体" w:hAnsi="宋体"/>
                <w:sz w:val="24"/>
                <w:highlight w:val="none"/>
              </w:rPr>
            </w:pPr>
            <w:r>
              <w:rPr>
                <w:rFonts w:ascii="宋体" w:hAnsi="宋体"/>
                <w:sz w:val="24"/>
                <w:highlight w:val="none"/>
              </w:rPr>
              <w:t>13</w:t>
            </w:r>
          </w:p>
        </w:tc>
        <w:tc>
          <w:tcPr>
            <w:tcW w:w="1504" w:type="dxa"/>
            <w:noWrap w:val="0"/>
            <w:vAlign w:val="center"/>
          </w:tcPr>
          <w:p w14:paraId="2D8B6A11">
            <w:pPr>
              <w:spacing w:line="360" w:lineRule="auto"/>
              <w:jc w:val="center"/>
              <w:rPr>
                <w:rFonts w:ascii="宋体" w:hAnsi="宋体"/>
                <w:sz w:val="24"/>
                <w:highlight w:val="none"/>
              </w:rPr>
            </w:pPr>
            <w:r>
              <w:rPr>
                <w:rFonts w:hint="eastAsia" w:ascii="宋体" w:hAnsi="宋体"/>
                <w:sz w:val="24"/>
                <w:highlight w:val="none"/>
              </w:rPr>
              <w:t>投标文件递交</w:t>
            </w:r>
          </w:p>
        </w:tc>
        <w:tc>
          <w:tcPr>
            <w:tcW w:w="8151" w:type="dxa"/>
            <w:noWrap w:val="0"/>
            <w:vAlign w:val="center"/>
          </w:tcPr>
          <w:p w14:paraId="274A1DED">
            <w:pPr>
              <w:spacing w:line="360" w:lineRule="auto"/>
              <w:ind w:firstLine="525" w:firstLineChars="218"/>
              <w:rPr>
                <w:rFonts w:ascii="宋体" w:hAnsi="宋体"/>
                <w:b/>
                <w:bCs/>
                <w:snapToGrid w:val="0"/>
                <w:kern w:val="0"/>
                <w:sz w:val="24"/>
                <w:highlight w:val="none"/>
              </w:rPr>
            </w:pPr>
            <w:r>
              <w:rPr>
                <w:rFonts w:hint="eastAsia" w:ascii="宋体" w:hAnsi="宋体"/>
                <w:b/>
                <w:bCs/>
                <w:snapToGrid w:val="0"/>
                <w:kern w:val="0"/>
                <w:sz w:val="24"/>
                <w:highlight w:val="none"/>
              </w:rPr>
              <w:t>电子标</w:t>
            </w:r>
          </w:p>
          <w:p w14:paraId="0D5087EC">
            <w:pPr>
              <w:spacing w:line="360" w:lineRule="auto"/>
              <w:ind w:firstLine="525" w:firstLineChars="218"/>
              <w:rPr>
                <w:rFonts w:ascii="宋体" w:hAnsi="宋体"/>
                <w:b/>
                <w:bCs/>
                <w:snapToGrid w:val="0"/>
                <w:kern w:val="0"/>
                <w:sz w:val="24"/>
                <w:highlight w:val="none"/>
              </w:rPr>
            </w:pPr>
            <w:r>
              <w:rPr>
                <w:rFonts w:hint="eastAsia" w:ascii="宋体" w:hAnsi="宋体"/>
                <w:b/>
                <w:bCs/>
                <w:snapToGrid w:val="0"/>
                <w:kern w:val="0"/>
                <w:sz w:val="24"/>
                <w:highlight w:val="none"/>
              </w:rPr>
              <w:t>本项目为电子化评审，只接受网上上传的投标（响应）文件，未通过系统上传投标（响应）文件的视为无效投标（报价）。</w:t>
            </w:r>
          </w:p>
          <w:p w14:paraId="6A92CE68">
            <w:pPr>
              <w:spacing w:line="360" w:lineRule="auto"/>
              <w:ind w:firstLine="523" w:firstLineChars="218"/>
              <w:rPr>
                <w:rFonts w:hint="eastAsia" w:ascii="宋体" w:hAnsi="宋体"/>
                <w:sz w:val="24"/>
                <w:highlight w:val="none"/>
              </w:rPr>
            </w:pPr>
            <w:r>
              <w:rPr>
                <w:rFonts w:hint="eastAsia" w:ascii="宋体" w:hAnsi="宋体"/>
                <w:sz w:val="24"/>
                <w:highlight w:val="none"/>
              </w:rPr>
              <w:t>本次实行不见面网上开标，投标人无需到达开标现场，需登录泰安市公共资源不见面开标系统进行远程解密响应文件，具体操作详见泰安市公共资源交易中心新版交易平台→精细化服务→ 政府采购→我是供应商→业务指南/手册→不见面开标大厅-投标人操作手册。</w:t>
            </w:r>
          </w:p>
          <w:p w14:paraId="27E50EFB">
            <w:pPr>
              <w:spacing w:line="360" w:lineRule="auto"/>
              <w:ind w:firstLine="523" w:firstLineChars="218"/>
              <w:rPr>
                <w:rFonts w:ascii="宋体" w:hAnsi="宋体"/>
                <w:sz w:val="24"/>
                <w:highlight w:val="none"/>
              </w:rPr>
            </w:pPr>
            <w:r>
              <w:rPr>
                <w:rFonts w:hint="eastAsia" w:ascii="宋体" w:hAnsi="宋体"/>
                <w:sz w:val="24"/>
                <w:highlight w:val="none"/>
              </w:rPr>
              <w:t>投标文件递交截止时间：</w:t>
            </w:r>
            <w:r>
              <w:rPr>
                <w:rFonts w:hint="eastAsia" w:ascii="宋体" w:hAnsi="宋体" w:cs="宋体"/>
                <w:sz w:val="24"/>
                <w:highlight w:val="none"/>
              </w:rPr>
              <w:t>详见招标公告；</w:t>
            </w:r>
          </w:p>
          <w:p w14:paraId="469A0497">
            <w:pPr>
              <w:spacing w:line="360" w:lineRule="auto"/>
              <w:ind w:firstLine="523" w:firstLineChars="218"/>
              <w:rPr>
                <w:rFonts w:ascii="宋体" w:hAnsi="宋体"/>
                <w:sz w:val="24"/>
                <w:highlight w:val="none"/>
              </w:rPr>
            </w:pPr>
            <w:r>
              <w:rPr>
                <w:rFonts w:hint="eastAsia" w:ascii="宋体" w:hAnsi="宋体"/>
                <w:sz w:val="24"/>
                <w:highlight w:val="none"/>
              </w:rPr>
              <w:t>投标文件递交地点：</w:t>
            </w:r>
            <w:r>
              <w:rPr>
                <w:rFonts w:hint="eastAsia" w:ascii="宋体" w:hAnsi="宋体" w:cs="宋体"/>
                <w:sz w:val="24"/>
                <w:highlight w:val="none"/>
              </w:rPr>
              <w:t>详见招标公告；</w:t>
            </w:r>
          </w:p>
        </w:tc>
      </w:tr>
      <w:tr w14:paraId="13D6C5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58" w:hRule="atLeast"/>
          <w:jc w:val="center"/>
        </w:trPr>
        <w:tc>
          <w:tcPr>
            <w:tcW w:w="619" w:type="dxa"/>
            <w:noWrap w:val="0"/>
            <w:vAlign w:val="center"/>
          </w:tcPr>
          <w:p w14:paraId="42A0CCAD">
            <w:pPr>
              <w:spacing w:line="360" w:lineRule="auto"/>
              <w:jc w:val="center"/>
              <w:rPr>
                <w:rFonts w:ascii="宋体" w:hAnsi="宋体"/>
                <w:sz w:val="24"/>
                <w:highlight w:val="none"/>
              </w:rPr>
            </w:pPr>
            <w:r>
              <w:rPr>
                <w:rFonts w:ascii="宋体" w:hAnsi="宋体"/>
                <w:sz w:val="24"/>
                <w:highlight w:val="none"/>
              </w:rPr>
              <w:t>14</w:t>
            </w:r>
          </w:p>
        </w:tc>
        <w:tc>
          <w:tcPr>
            <w:tcW w:w="1504" w:type="dxa"/>
            <w:noWrap w:val="0"/>
            <w:vAlign w:val="center"/>
          </w:tcPr>
          <w:p w14:paraId="1E30A91A">
            <w:pPr>
              <w:spacing w:line="360" w:lineRule="auto"/>
              <w:jc w:val="center"/>
              <w:rPr>
                <w:rFonts w:ascii="宋体" w:hAnsi="宋体"/>
                <w:sz w:val="24"/>
                <w:highlight w:val="none"/>
              </w:rPr>
            </w:pPr>
            <w:r>
              <w:rPr>
                <w:rFonts w:hint="eastAsia" w:ascii="宋体" w:hAnsi="宋体"/>
                <w:sz w:val="24"/>
                <w:highlight w:val="none"/>
              </w:rPr>
              <w:t>开标时间、开标地点</w:t>
            </w:r>
          </w:p>
        </w:tc>
        <w:tc>
          <w:tcPr>
            <w:tcW w:w="8151" w:type="dxa"/>
            <w:noWrap w:val="0"/>
            <w:vAlign w:val="center"/>
          </w:tcPr>
          <w:p w14:paraId="5D40EA47">
            <w:pPr>
              <w:spacing w:line="360" w:lineRule="auto"/>
              <w:ind w:firstLine="523" w:firstLineChars="218"/>
              <w:rPr>
                <w:rFonts w:ascii="宋体" w:hAnsi="宋体"/>
                <w:sz w:val="24"/>
                <w:highlight w:val="none"/>
              </w:rPr>
            </w:pPr>
            <w:r>
              <w:rPr>
                <w:rFonts w:hint="eastAsia" w:ascii="宋体" w:hAnsi="宋体"/>
                <w:sz w:val="24"/>
                <w:highlight w:val="none"/>
              </w:rPr>
              <w:t>开标时间：同投标文件递交截止时间；</w:t>
            </w:r>
          </w:p>
          <w:p w14:paraId="53CC03AB">
            <w:pPr>
              <w:spacing w:line="360" w:lineRule="auto"/>
              <w:ind w:firstLine="523" w:firstLineChars="218"/>
              <w:rPr>
                <w:rFonts w:ascii="宋体" w:hAnsi="宋体"/>
                <w:sz w:val="24"/>
                <w:highlight w:val="none"/>
              </w:rPr>
            </w:pPr>
            <w:r>
              <w:rPr>
                <w:rFonts w:hint="eastAsia" w:ascii="宋体" w:hAnsi="宋体"/>
                <w:sz w:val="24"/>
                <w:highlight w:val="none"/>
              </w:rPr>
              <w:t>地点：同投标文件递交地点。</w:t>
            </w:r>
          </w:p>
        </w:tc>
      </w:tr>
      <w:tr w14:paraId="54A809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21" w:hRule="atLeast"/>
          <w:jc w:val="center"/>
        </w:trPr>
        <w:tc>
          <w:tcPr>
            <w:tcW w:w="619" w:type="dxa"/>
            <w:noWrap w:val="0"/>
            <w:vAlign w:val="center"/>
          </w:tcPr>
          <w:p w14:paraId="1D96C3B3">
            <w:pPr>
              <w:spacing w:line="360" w:lineRule="auto"/>
              <w:jc w:val="center"/>
              <w:rPr>
                <w:rFonts w:hint="eastAsia" w:ascii="宋体" w:hAnsi="宋体"/>
                <w:sz w:val="24"/>
                <w:highlight w:val="none"/>
              </w:rPr>
            </w:pPr>
            <w:r>
              <w:rPr>
                <w:rFonts w:hint="eastAsia" w:ascii="宋体" w:hAnsi="宋体"/>
                <w:sz w:val="24"/>
                <w:highlight w:val="none"/>
              </w:rPr>
              <w:t>15</w:t>
            </w:r>
          </w:p>
        </w:tc>
        <w:tc>
          <w:tcPr>
            <w:tcW w:w="1504" w:type="dxa"/>
            <w:noWrap w:val="0"/>
            <w:vAlign w:val="center"/>
          </w:tcPr>
          <w:p w14:paraId="2024B2D3">
            <w:pPr>
              <w:spacing w:line="360" w:lineRule="auto"/>
              <w:jc w:val="center"/>
              <w:rPr>
                <w:rFonts w:ascii="宋体" w:hAnsi="宋体"/>
                <w:sz w:val="24"/>
                <w:highlight w:val="none"/>
              </w:rPr>
            </w:pPr>
            <w:r>
              <w:rPr>
                <w:rFonts w:hint="eastAsia" w:ascii="宋体" w:hAnsi="宋体"/>
                <w:sz w:val="24"/>
                <w:highlight w:val="none"/>
              </w:rPr>
              <w:t>年份要求</w:t>
            </w:r>
          </w:p>
        </w:tc>
        <w:tc>
          <w:tcPr>
            <w:tcW w:w="8151" w:type="dxa"/>
            <w:noWrap w:val="0"/>
            <w:vAlign w:val="center"/>
          </w:tcPr>
          <w:p w14:paraId="2C0ABD22">
            <w:pPr>
              <w:spacing w:line="360" w:lineRule="auto"/>
              <w:ind w:firstLine="523" w:firstLineChars="218"/>
              <w:jc w:val="left"/>
              <w:rPr>
                <w:rFonts w:ascii="宋体" w:hAnsi="宋体"/>
                <w:szCs w:val="24"/>
                <w:highlight w:val="none"/>
              </w:rPr>
            </w:pPr>
            <w:r>
              <w:rPr>
                <w:rFonts w:hint="eastAsia" w:ascii="宋体" w:hAnsi="宋体" w:cs="宋体"/>
                <w:kern w:val="0"/>
                <w:sz w:val="24"/>
                <w:highlight w:val="none"/>
              </w:rPr>
              <w:t>财务状况年份要求：202</w:t>
            </w:r>
            <w:r>
              <w:rPr>
                <w:rFonts w:hint="eastAsia" w:ascii="宋体" w:hAnsi="宋体" w:cs="宋体"/>
                <w:kern w:val="0"/>
                <w:sz w:val="24"/>
                <w:highlight w:val="none"/>
                <w:lang w:val="en-US" w:eastAsia="zh-CN"/>
              </w:rPr>
              <w:t>3</w:t>
            </w:r>
            <w:r>
              <w:rPr>
                <w:rFonts w:hint="eastAsia" w:ascii="宋体" w:hAnsi="宋体" w:cs="宋体"/>
                <w:kern w:val="0"/>
                <w:sz w:val="24"/>
                <w:highlight w:val="none"/>
              </w:rPr>
              <w:t>年；</w:t>
            </w:r>
            <w:r>
              <w:rPr>
                <w:rFonts w:ascii="宋体" w:hAnsi="宋体" w:cs="宋体"/>
                <w:kern w:val="0"/>
                <w:sz w:val="24"/>
                <w:highlight w:val="none"/>
              </w:rPr>
              <w:t xml:space="preserve"> </w:t>
            </w:r>
          </w:p>
          <w:p w14:paraId="517A76AE">
            <w:pPr>
              <w:pStyle w:val="30"/>
              <w:spacing w:line="360" w:lineRule="auto"/>
              <w:ind w:firstLine="480" w:firstLineChars="200"/>
              <w:jc w:val="left"/>
              <w:rPr>
                <w:rFonts w:ascii="宋体" w:hAnsi="宋体"/>
                <w:highlight w:val="none"/>
              </w:rPr>
            </w:pPr>
            <w:r>
              <w:rPr>
                <w:rFonts w:hint="eastAsia" w:ascii="宋体" w:hAnsi="宋体" w:cs="宋体"/>
                <w:szCs w:val="24"/>
                <w:highlight w:val="none"/>
              </w:rPr>
              <w:t>如成立时间较短的供应商，可提供成立至今的相关证明材料。</w:t>
            </w:r>
          </w:p>
        </w:tc>
      </w:tr>
      <w:tr w14:paraId="61B9BB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9" w:hRule="atLeast"/>
          <w:jc w:val="center"/>
        </w:trPr>
        <w:tc>
          <w:tcPr>
            <w:tcW w:w="619" w:type="dxa"/>
            <w:noWrap w:val="0"/>
            <w:vAlign w:val="center"/>
          </w:tcPr>
          <w:p w14:paraId="119B8AFA">
            <w:pPr>
              <w:spacing w:line="360" w:lineRule="auto"/>
              <w:jc w:val="center"/>
              <w:rPr>
                <w:rFonts w:hint="eastAsia" w:ascii="宋体" w:hAnsi="宋体"/>
                <w:bCs/>
                <w:sz w:val="24"/>
                <w:highlight w:val="none"/>
              </w:rPr>
            </w:pPr>
            <w:r>
              <w:rPr>
                <w:rFonts w:ascii="宋体" w:hAnsi="宋体"/>
                <w:bCs/>
                <w:sz w:val="24"/>
                <w:highlight w:val="none"/>
              </w:rPr>
              <w:t>1</w:t>
            </w:r>
            <w:r>
              <w:rPr>
                <w:rFonts w:hint="eastAsia" w:ascii="宋体" w:hAnsi="宋体"/>
                <w:bCs/>
                <w:sz w:val="24"/>
                <w:highlight w:val="none"/>
              </w:rPr>
              <w:t>6</w:t>
            </w:r>
          </w:p>
        </w:tc>
        <w:tc>
          <w:tcPr>
            <w:tcW w:w="1504" w:type="dxa"/>
            <w:noWrap w:val="0"/>
            <w:vAlign w:val="center"/>
          </w:tcPr>
          <w:p w14:paraId="561CE5C2">
            <w:pPr>
              <w:spacing w:line="360" w:lineRule="auto"/>
              <w:jc w:val="center"/>
              <w:rPr>
                <w:rFonts w:ascii="宋体" w:hAnsi="宋体"/>
                <w:sz w:val="24"/>
                <w:highlight w:val="none"/>
              </w:rPr>
            </w:pPr>
            <w:r>
              <w:rPr>
                <w:rFonts w:hint="eastAsia" w:ascii="宋体" w:hAnsi="宋体"/>
                <w:sz w:val="24"/>
                <w:highlight w:val="none"/>
              </w:rPr>
              <w:t>评标委员会组成</w:t>
            </w:r>
          </w:p>
        </w:tc>
        <w:tc>
          <w:tcPr>
            <w:tcW w:w="8151" w:type="dxa"/>
            <w:noWrap w:val="0"/>
            <w:vAlign w:val="center"/>
          </w:tcPr>
          <w:p w14:paraId="2AB78315">
            <w:pPr>
              <w:spacing w:line="360" w:lineRule="auto"/>
              <w:ind w:firstLine="523" w:firstLineChars="218"/>
              <w:rPr>
                <w:rFonts w:hint="eastAsia" w:ascii="宋体" w:hAnsi="宋体"/>
                <w:sz w:val="24"/>
                <w:highlight w:val="none"/>
              </w:rPr>
            </w:pPr>
            <w:r>
              <w:rPr>
                <w:rFonts w:hint="eastAsia" w:ascii="宋体" w:hAnsi="宋体"/>
                <w:snapToGrid w:val="0"/>
                <w:kern w:val="0"/>
                <w:sz w:val="24"/>
                <w:highlight w:val="none"/>
              </w:rPr>
              <w:t>根据本项目的特点组建评标委员会，其成员由有关评审专家和采购人代表等五人或以上单数组成，其中评审专家不得少于成员总数的三分之二。</w:t>
            </w:r>
          </w:p>
        </w:tc>
      </w:tr>
      <w:tr w14:paraId="2307E8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9" w:hRule="atLeast"/>
          <w:jc w:val="center"/>
        </w:trPr>
        <w:tc>
          <w:tcPr>
            <w:tcW w:w="619" w:type="dxa"/>
            <w:noWrap w:val="0"/>
            <w:vAlign w:val="center"/>
          </w:tcPr>
          <w:p w14:paraId="0BD71BB3">
            <w:pPr>
              <w:spacing w:line="360" w:lineRule="auto"/>
              <w:jc w:val="center"/>
              <w:rPr>
                <w:rFonts w:hint="eastAsia" w:ascii="宋体" w:hAnsi="宋体"/>
                <w:bCs/>
                <w:sz w:val="24"/>
                <w:highlight w:val="none"/>
              </w:rPr>
            </w:pPr>
            <w:r>
              <w:rPr>
                <w:rFonts w:ascii="宋体" w:hAnsi="宋体"/>
                <w:bCs/>
                <w:sz w:val="24"/>
                <w:highlight w:val="none"/>
              </w:rPr>
              <w:t>1</w:t>
            </w:r>
            <w:r>
              <w:rPr>
                <w:rFonts w:hint="eastAsia" w:ascii="宋体" w:hAnsi="宋体"/>
                <w:bCs/>
                <w:sz w:val="24"/>
                <w:highlight w:val="none"/>
              </w:rPr>
              <w:t>7</w:t>
            </w:r>
          </w:p>
        </w:tc>
        <w:tc>
          <w:tcPr>
            <w:tcW w:w="1504" w:type="dxa"/>
            <w:noWrap w:val="0"/>
            <w:vAlign w:val="center"/>
          </w:tcPr>
          <w:p w14:paraId="186CE477">
            <w:pPr>
              <w:spacing w:line="360" w:lineRule="auto"/>
              <w:jc w:val="center"/>
              <w:rPr>
                <w:rFonts w:ascii="宋体" w:hAnsi="宋体"/>
                <w:sz w:val="24"/>
                <w:highlight w:val="none"/>
              </w:rPr>
            </w:pPr>
            <w:r>
              <w:rPr>
                <w:rFonts w:hint="eastAsia" w:ascii="宋体" w:hAnsi="宋体"/>
                <w:sz w:val="24"/>
                <w:highlight w:val="none"/>
              </w:rPr>
              <w:t>评标方法</w:t>
            </w:r>
          </w:p>
        </w:tc>
        <w:tc>
          <w:tcPr>
            <w:tcW w:w="8151" w:type="dxa"/>
            <w:noWrap w:val="0"/>
            <w:vAlign w:val="center"/>
          </w:tcPr>
          <w:p w14:paraId="2AE6F3B6">
            <w:pPr>
              <w:spacing w:line="360" w:lineRule="auto"/>
              <w:ind w:firstLine="480" w:firstLineChars="200"/>
              <w:rPr>
                <w:rFonts w:ascii="宋体" w:hAnsi="宋体"/>
                <w:sz w:val="24"/>
                <w:highlight w:val="none"/>
              </w:rPr>
            </w:pPr>
            <w:r>
              <w:rPr>
                <w:rFonts w:hint="eastAsia" w:ascii="宋体" w:hAnsi="宋体"/>
                <w:sz w:val="24"/>
                <w:highlight w:val="none"/>
              </w:rPr>
              <w:t>本次评标采用综合评分法，评标委员会成员根据第三章“评标方法”进行打分，按照得分由高到低顺序对各供应商进行排序，提出书面评标报告，</w:t>
            </w:r>
            <w:r>
              <w:rPr>
                <w:rFonts w:hint="eastAsia" w:ascii="宋体" w:hAnsi="宋体" w:cs="宋体"/>
                <w:sz w:val="24"/>
                <w:highlight w:val="none"/>
              </w:rPr>
              <w:t>推荐中标候选人。</w:t>
            </w:r>
          </w:p>
        </w:tc>
      </w:tr>
      <w:tr w14:paraId="6870CB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9" w:hRule="atLeast"/>
          <w:jc w:val="center"/>
        </w:trPr>
        <w:tc>
          <w:tcPr>
            <w:tcW w:w="619" w:type="dxa"/>
            <w:noWrap w:val="0"/>
            <w:vAlign w:val="center"/>
          </w:tcPr>
          <w:p w14:paraId="3CD8C127">
            <w:pPr>
              <w:spacing w:line="360" w:lineRule="auto"/>
              <w:jc w:val="center"/>
              <w:rPr>
                <w:rFonts w:hint="eastAsia" w:ascii="宋体" w:hAnsi="宋体"/>
                <w:bCs/>
                <w:sz w:val="24"/>
                <w:highlight w:val="none"/>
              </w:rPr>
            </w:pPr>
            <w:r>
              <w:rPr>
                <w:rFonts w:hint="eastAsia" w:ascii="宋体" w:hAnsi="宋体"/>
                <w:bCs/>
                <w:sz w:val="24"/>
                <w:highlight w:val="none"/>
              </w:rPr>
              <w:t>18</w:t>
            </w:r>
          </w:p>
        </w:tc>
        <w:tc>
          <w:tcPr>
            <w:tcW w:w="1504" w:type="dxa"/>
            <w:noWrap w:val="0"/>
            <w:vAlign w:val="center"/>
          </w:tcPr>
          <w:p w14:paraId="04141000">
            <w:pPr>
              <w:spacing w:line="360" w:lineRule="auto"/>
              <w:jc w:val="center"/>
              <w:rPr>
                <w:rFonts w:ascii="宋体" w:hAnsi="宋体"/>
                <w:sz w:val="24"/>
                <w:highlight w:val="none"/>
              </w:rPr>
            </w:pPr>
            <w:r>
              <w:rPr>
                <w:rFonts w:hint="eastAsia" w:ascii="宋体" w:hAnsi="宋体"/>
                <w:snapToGrid w:val="0"/>
                <w:kern w:val="0"/>
                <w:sz w:val="24"/>
                <w:highlight w:val="none"/>
              </w:rPr>
              <w:t>推荐中标候选人数量</w:t>
            </w:r>
          </w:p>
        </w:tc>
        <w:tc>
          <w:tcPr>
            <w:tcW w:w="8151" w:type="dxa"/>
            <w:noWrap w:val="0"/>
            <w:vAlign w:val="center"/>
          </w:tcPr>
          <w:p w14:paraId="009C8F98">
            <w:pPr>
              <w:pStyle w:val="172"/>
              <w:ind w:firstLine="480" w:firstLineChars="200"/>
              <w:rPr>
                <w:rFonts w:hint="eastAsia" w:hAnsi="宋体"/>
                <w:snapToGrid w:val="0"/>
                <w:color w:val="auto"/>
                <w:highlight w:val="none"/>
              </w:rPr>
            </w:pPr>
            <w:r>
              <w:rPr>
                <w:rFonts w:hint="eastAsia" w:hAnsi="宋体"/>
                <w:snapToGrid w:val="0"/>
                <w:color w:val="auto"/>
                <w:highlight w:val="none"/>
                <w:lang w:eastAsia="zh-CN"/>
              </w:rPr>
              <w:t>☑</w:t>
            </w:r>
            <w:r>
              <w:rPr>
                <w:rFonts w:hint="eastAsia" w:hAnsi="宋体"/>
                <w:snapToGrid w:val="0"/>
                <w:color w:val="auto"/>
                <w:highlight w:val="none"/>
              </w:rPr>
              <w:t>1名</w:t>
            </w:r>
          </w:p>
          <w:p w14:paraId="074C7B25">
            <w:pPr>
              <w:pStyle w:val="172"/>
              <w:ind w:firstLine="480" w:firstLineChars="200"/>
              <w:rPr>
                <w:rFonts w:hint="eastAsia" w:hAnsi="宋体"/>
                <w:snapToGrid w:val="0"/>
                <w:color w:val="auto"/>
                <w:highlight w:val="none"/>
              </w:rPr>
            </w:pPr>
            <w:r>
              <w:rPr>
                <w:rFonts w:hint="eastAsia" w:hAnsi="宋体"/>
                <w:snapToGrid w:val="0"/>
                <w:color w:val="auto"/>
                <w:highlight w:val="none"/>
              </w:rPr>
              <w:t>□2名</w:t>
            </w:r>
          </w:p>
          <w:p w14:paraId="18A72B56">
            <w:pPr>
              <w:pStyle w:val="172"/>
              <w:ind w:firstLine="480" w:firstLineChars="200"/>
              <w:rPr>
                <w:rFonts w:hAnsi="宋体"/>
                <w:color w:val="auto"/>
                <w:highlight w:val="none"/>
              </w:rPr>
            </w:pPr>
            <w:r>
              <w:rPr>
                <w:rFonts w:hint="eastAsia" w:hAnsi="宋体"/>
                <w:snapToGrid w:val="0"/>
                <w:color w:val="auto"/>
                <w:highlight w:val="none"/>
              </w:rPr>
              <w:sym w:font="Wingdings 2" w:char="00A3"/>
            </w:r>
            <w:r>
              <w:rPr>
                <w:rFonts w:hint="eastAsia" w:hAnsi="宋体"/>
                <w:snapToGrid w:val="0"/>
                <w:color w:val="auto"/>
                <w:highlight w:val="none"/>
              </w:rPr>
              <w:t>3名</w:t>
            </w:r>
          </w:p>
        </w:tc>
      </w:tr>
      <w:tr w14:paraId="7BC456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9" w:hRule="atLeast"/>
          <w:jc w:val="center"/>
        </w:trPr>
        <w:tc>
          <w:tcPr>
            <w:tcW w:w="619" w:type="dxa"/>
            <w:noWrap w:val="0"/>
            <w:vAlign w:val="center"/>
          </w:tcPr>
          <w:p w14:paraId="481E0D7D">
            <w:pPr>
              <w:spacing w:line="360" w:lineRule="auto"/>
              <w:jc w:val="center"/>
              <w:rPr>
                <w:rFonts w:ascii="宋体" w:hAnsi="宋体"/>
                <w:bCs/>
                <w:sz w:val="24"/>
                <w:highlight w:val="none"/>
              </w:rPr>
            </w:pPr>
            <w:r>
              <w:rPr>
                <w:rFonts w:hint="eastAsia" w:ascii="宋体" w:hAnsi="宋体"/>
                <w:bCs/>
                <w:sz w:val="24"/>
                <w:highlight w:val="none"/>
              </w:rPr>
              <w:t>19</w:t>
            </w:r>
          </w:p>
        </w:tc>
        <w:tc>
          <w:tcPr>
            <w:tcW w:w="1504" w:type="dxa"/>
            <w:noWrap w:val="0"/>
            <w:vAlign w:val="center"/>
          </w:tcPr>
          <w:p w14:paraId="2145BF28">
            <w:pPr>
              <w:spacing w:line="360" w:lineRule="auto"/>
              <w:jc w:val="center"/>
              <w:rPr>
                <w:rFonts w:hint="eastAsia" w:ascii="宋体" w:hAnsi="宋体" w:cs="宋体"/>
                <w:sz w:val="24"/>
                <w:highlight w:val="none"/>
              </w:rPr>
            </w:pPr>
            <w:r>
              <w:rPr>
                <w:rFonts w:hint="eastAsia" w:ascii="宋体" w:hAnsi="宋体" w:cs="宋体"/>
                <w:snapToGrid w:val="0"/>
                <w:kern w:val="0"/>
                <w:sz w:val="24"/>
                <w:highlight w:val="none"/>
              </w:rPr>
              <w:t>是否授权评标委员会确定中标人</w:t>
            </w:r>
          </w:p>
        </w:tc>
        <w:tc>
          <w:tcPr>
            <w:tcW w:w="8151" w:type="dxa"/>
            <w:noWrap w:val="0"/>
            <w:vAlign w:val="center"/>
          </w:tcPr>
          <w:p w14:paraId="7AD481D6">
            <w:pPr>
              <w:spacing w:line="360" w:lineRule="auto"/>
              <w:ind w:firstLine="480" w:firstLineChars="200"/>
              <w:rPr>
                <w:rFonts w:ascii="宋体" w:hAnsi="宋体" w:cs="宋体"/>
                <w:snapToGrid w:val="0"/>
                <w:kern w:val="0"/>
                <w:sz w:val="24"/>
                <w:highlight w:val="none"/>
              </w:rPr>
            </w:pPr>
            <w:r>
              <w:rPr>
                <w:rFonts w:hint="eastAsia" w:ascii="宋体" w:hAnsi="宋体" w:cs="宋体"/>
                <w:snapToGrid w:val="0"/>
                <w:kern w:val="0"/>
                <w:sz w:val="24"/>
                <w:highlight w:val="none"/>
              </w:rPr>
              <w:t>□ 否，由采购人依法确定中标人；</w:t>
            </w:r>
          </w:p>
          <w:p w14:paraId="720C39B5">
            <w:pPr>
              <w:spacing w:line="360" w:lineRule="auto"/>
              <w:ind w:firstLine="480" w:firstLineChars="200"/>
              <w:rPr>
                <w:rFonts w:hint="eastAsia" w:ascii="宋体" w:hAnsi="宋体" w:cs="宋体"/>
                <w:sz w:val="24"/>
                <w:highlight w:val="none"/>
              </w:rPr>
            </w:pPr>
            <w:r>
              <w:rPr>
                <w:rFonts w:hint="eastAsia" w:ascii="宋体" w:hAnsi="宋体" w:cs="宋体"/>
                <w:snapToGrid w:val="0"/>
                <w:kern w:val="0"/>
                <w:sz w:val="24"/>
                <w:highlight w:val="none"/>
              </w:rPr>
              <w:sym w:font="Wingdings 2" w:char="0052"/>
            </w:r>
            <w:r>
              <w:rPr>
                <w:rFonts w:hint="eastAsia" w:ascii="宋体" w:hAnsi="宋体" w:cs="宋体"/>
                <w:snapToGrid w:val="0"/>
                <w:kern w:val="0"/>
                <w:sz w:val="24"/>
                <w:highlight w:val="none"/>
              </w:rPr>
              <w:t xml:space="preserve"> 是，评标委员会按照采购人授权确定中标人。</w:t>
            </w:r>
          </w:p>
        </w:tc>
      </w:tr>
      <w:tr w14:paraId="0E201F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9" w:hRule="atLeast"/>
          <w:jc w:val="center"/>
        </w:trPr>
        <w:tc>
          <w:tcPr>
            <w:tcW w:w="619" w:type="dxa"/>
            <w:noWrap w:val="0"/>
            <w:vAlign w:val="center"/>
          </w:tcPr>
          <w:p w14:paraId="0603C0C6">
            <w:pPr>
              <w:spacing w:line="360" w:lineRule="auto"/>
              <w:jc w:val="center"/>
              <w:rPr>
                <w:rFonts w:ascii="宋体" w:hAnsi="宋体"/>
                <w:sz w:val="24"/>
                <w:highlight w:val="none"/>
              </w:rPr>
            </w:pPr>
            <w:r>
              <w:rPr>
                <w:rFonts w:ascii="宋体" w:hAnsi="宋体"/>
                <w:sz w:val="24"/>
                <w:highlight w:val="none"/>
              </w:rPr>
              <w:t>2</w:t>
            </w:r>
            <w:r>
              <w:rPr>
                <w:rFonts w:hint="eastAsia" w:ascii="宋体" w:hAnsi="宋体"/>
                <w:sz w:val="24"/>
                <w:highlight w:val="none"/>
              </w:rPr>
              <w:t>0</w:t>
            </w:r>
          </w:p>
        </w:tc>
        <w:tc>
          <w:tcPr>
            <w:tcW w:w="1504" w:type="dxa"/>
            <w:noWrap w:val="0"/>
            <w:vAlign w:val="center"/>
          </w:tcPr>
          <w:p w14:paraId="4122669D">
            <w:pPr>
              <w:spacing w:line="360" w:lineRule="auto"/>
              <w:jc w:val="center"/>
              <w:rPr>
                <w:rFonts w:ascii="宋体" w:hAnsi="宋体" w:cs="宋体"/>
                <w:kern w:val="0"/>
                <w:sz w:val="24"/>
                <w:highlight w:val="none"/>
              </w:rPr>
            </w:pPr>
            <w:r>
              <w:rPr>
                <w:rFonts w:hint="eastAsia" w:ascii="宋体" w:hAnsi="宋体" w:cs="宋体"/>
                <w:kern w:val="0"/>
                <w:sz w:val="24"/>
                <w:highlight w:val="none"/>
              </w:rPr>
              <w:t>相关费用</w:t>
            </w:r>
          </w:p>
        </w:tc>
        <w:tc>
          <w:tcPr>
            <w:tcW w:w="8151" w:type="dxa"/>
            <w:noWrap w:val="0"/>
            <w:vAlign w:val="center"/>
          </w:tcPr>
          <w:p w14:paraId="1F54CA29">
            <w:pPr>
              <w:spacing w:line="360" w:lineRule="auto"/>
              <w:ind w:firstLine="523" w:firstLineChars="218"/>
              <w:rPr>
                <w:rFonts w:ascii="宋体" w:hAnsi="宋体" w:cs="宋体"/>
                <w:kern w:val="0"/>
                <w:sz w:val="24"/>
                <w:highlight w:val="none"/>
              </w:rPr>
            </w:pPr>
            <w:r>
              <w:rPr>
                <w:rFonts w:hint="eastAsia" w:ascii="宋体" w:hAnsi="宋体" w:cs="宋体"/>
                <w:kern w:val="0"/>
                <w:sz w:val="24"/>
                <w:highlight w:val="none"/>
              </w:rPr>
              <w:t>中标服务费：</w:t>
            </w:r>
          </w:p>
          <w:p w14:paraId="0C0941AF">
            <w:pPr>
              <w:spacing w:line="360" w:lineRule="auto"/>
              <w:ind w:firstLine="457" w:firstLineChars="218"/>
              <w:rPr>
                <w:rFonts w:ascii="宋体" w:hAnsi="宋体" w:cs="宋体"/>
                <w:kern w:val="0"/>
                <w:sz w:val="24"/>
                <w:highlight w:val="none"/>
              </w:rPr>
            </w:pPr>
            <w:r>
              <w:rPr>
                <w:rFonts w:hint="eastAsia" w:ascii="宋体" w:hAnsi="宋体"/>
                <w:highlight w:val="none"/>
              </w:rPr>
              <w:sym w:font="Wingdings 2" w:char="0052"/>
            </w:r>
            <w:r>
              <w:rPr>
                <w:rFonts w:hint="eastAsia" w:ascii="宋体" w:hAnsi="宋体" w:cs="宋体"/>
                <w:kern w:val="0"/>
                <w:sz w:val="24"/>
                <w:highlight w:val="none"/>
              </w:rPr>
              <w:t>本项目中标服务费《国家发展改革委办公厅关于招标代理服务收费有关问题的通知》(发改办价格〔2003〕857号)和国家计委关于《招标代理服务收费管理暂行办法》(计价格〔2002〕1980号)规定标准的 60%，由成交供应商支付。具体计算办法见后附表。中标服务费</w:t>
            </w:r>
            <w:r>
              <w:rPr>
                <w:rFonts w:hint="eastAsia" w:ascii="宋体" w:hAnsi="宋体"/>
                <w:sz w:val="24"/>
                <w:highlight w:val="none"/>
              </w:rPr>
              <w:t>由中标人支付</w:t>
            </w:r>
            <w:r>
              <w:rPr>
                <w:rFonts w:hint="eastAsia" w:ascii="宋体" w:hAnsi="宋体"/>
                <w:highlight w:val="none"/>
              </w:rPr>
              <w:t>。</w:t>
            </w:r>
          </w:p>
        </w:tc>
      </w:tr>
      <w:tr w14:paraId="58532A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97" w:hRule="atLeast"/>
          <w:jc w:val="center"/>
        </w:trPr>
        <w:tc>
          <w:tcPr>
            <w:tcW w:w="619" w:type="dxa"/>
            <w:tcBorders>
              <w:right w:val="single" w:color="auto" w:sz="4" w:space="0"/>
            </w:tcBorders>
            <w:noWrap w:val="0"/>
            <w:vAlign w:val="center"/>
          </w:tcPr>
          <w:p w14:paraId="32A3E9E4">
            <w:pPr>
              <w:spacing w:line="360" w:lineRule="auto"/>
              <w:jc w:val="center"/>
              <w:rPr>
                <w:rFonts w:ascii="宋体" w:hAnsi="宋体"/>
                <w:sz w:val="24"/>
                <w:highlight w:val="none"/>
              </w:rPr>
            </w:pPr>
            <w:r>
              <w:rPr>
                <w:rFonts w:ascii="宋体" w:hAnsi="宋体"/>
                <w:sz w:val="24"/>
                <w:highlight w:val="none"/>
              </w:rPr>
              <w:t>2</w:t>
            </w:r>
            <w:r>
              <w:rPr>
                <w:rFonts w:hint="eastAsia" w:ascii="宋体" w:hAnsi="宋体"/>
                <w:sz w:val="24"/>
                <w:highlight w:val="none"/>
              </w:rPr>
              <w:t>1</w:t>
            </w:r>
          </w:p>
        </w:tc>
        <w:tc>
          <w:tcPr>
            <w:tcW w:w="1504" w:type="dxa"/>
            <w:tcBorders>
              <w:right w:val="single" w:color="auto" w:sz="4" w:space="0"/>
            </w:tcBorders>
            <w:noWrap w:val="0"/>
            <w:vAlign w:val="center"/>
          </w:tcPr>
          <w:p w14:paraId="7263532D">
            <w:pPr>
              <w:spacing w:line="360" w:lineRule="auto"/>
              <w:jc w:val="center"/>
              <w:rPr>
                <w:rFonts w:ascii="宋体" w:hAnsi="宋体" w:cs="宋体"/>
                <w:b/>
                <w:kern w:val="0"/>
                <w:sz w:val="24"/>
                <w:highlight w:val="none"/>
              </w:rPr>
            </w:pPr>
            <w:r>
              <w:rPr>
                <w:rFonts w:hint="eastAsia" w:ascii="宋体" w:hAnsi="宋体" w:cs="宋体"/>
                <w:bCs/>
                <w:kern w:val="0"/>
                <w:sz w:val="24"/>
                <w:highlight w:val="none"/>
              </w:rPr>
              <w:t>履约保证金</w:t>
            </w:r>
          </w:p>
        </w:tc>
        <w:tc>
          <w:tcPr>
            <w:tcW w:w="8151" w:type="dxa"/>
            <w:tcBorders>
              <w:left w:val="single" w:color="auto" w:sz="4" w:space="0"/>
            </w:tcBorders>
            <w:noWrap w:val="0"/>
            <w:vAlign w:val="center"/>
          </w:tcPr>
          <w:p w14:paraId="2F4D3C38">
            <w:pPr>
              <w:spacing w:line="360" w:lineRule="auto"/>
              <w:ind w:left="315" w:hanging="315" w:hangingChars="150"/>
              <w:rPr>
                <w:rFonts w:ascii="宋体" w:hAnsi="宋体"/>
                <w:highlight w:val="none"/>
              </w:rPr>
            </w:pPr>
            <w:r>
              <w:rPr>
                <w:rFonts w:hint="eastAsia" w:ascii="宋体" w:hAnsi="宋体"/>
                <w:highlight w:val="none"/>
              </w:rPr>
              <w:sym w:font="Wingdings 2" w:char="0052"/>
            </w:r>
            <w:r>
              <w:rPr>
                <w:rFonts w:hint="eastAsia" w:ascii="宋体" w:hAnsi="宋体"/>
                <w:bCs/>
                <w:sz w:val="24"/>
                <w:highlight w:val="none"/>
              </w:rPr>
              <w:t>不需要</w:t>
            </w:r>
          </w:p>
        </w:tc>
      </w:tr>
      <w:tr w14:paraId="078D9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97" w:hRule="atLeast"/>
          <w:jc w:val="center"/>
        </w:trPr>
        <w:tc>
          <w:tcPr>
            <w:tcW w:w="10274" w:type="dxa"/>
            <w:gridSpan w:val="3"/>
            <w:noWrap w:val="0"/>
            <w:vAlign w:val="center"/>
          </w:tcPr>
          <w:p w14:paraId="6E767329">
            <w:pPr>
              <w:spacing w:line="276" w:lineRule="auto"/>
              <w:ind w:left="420" w:hanging="420" w:hangingChars="150"/>
              <w:jc w:val="center"/>
              <w:rPr>
                <w:rFonts w:ascii="宋体" w:hAnsi="宋体"/>
                <w:sz w:val="28"/>
                <w:szCs w:val="28"/>
                <w:highlight w:val="none"/>
              </w:rPr>
            </w:pPr>
            <w:r>
              <w:rPr>
                <w:rFonts w:hint="eastAsia" w:ascii="宋体" w:hAnsi="宋体"/>
                <w:sz w:val="28"/>
                <w:szCs w:val="28"/>
                <w:highlight w:val="none"/>
              </w:rPr>
              <w:t>其他</w:t>
            </w:r>
          </w:p>
        </w:tc>
      </w:tr>
      <w:tr w14:paraId="007C97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jc w:val="center"/>
        </w:trPr>
        <w:tc>
          <w:tcPr>
            <w:tcW w:w="619" w:type="dxa"/>
            <w:tcBorders>
              <w:right w:val="single" w:color="auto" w:sz="4" w:space="0"/>
            </w:tcBorders>
            <w:noWrap w:val="0"/>
            <w:vAlign w:val="center"/>
          </w:tcPr>
          <w:p w14:paraId="7E640007">
            <w:pPr>
              <w:spacing w:line="360" w:lineRule="auto"/>
              <w:jc w:val="center"/>
              <w:rPr>
                <w:rFonts w:ascii="宋体" w:hAnsi="宋体"/>
                <w:sz w:val="24"/>
                <w:highlight w:val="none"/>
              </w:rPr>
            </w:pPr>
            <w:r>
              <w:rPr>
                <w:rFonts w:hint="eastAsia" w:ascii="宋体" w:hAnsi="宋体"/>
                <w:sz w:val="24"/>
                <w:highlight w:val="none"/>
              </w:rPr>
              <w:t>22</w:t>
            </w:r>
          </w:p>
        </w:tc>
        <w:tc>
          <w:tcPr>
            <w:tcW w:w="1504" w:type="dxa"/>
            <w:tcBorders>
              <w:right w:val="single" w:color="auto" w:sz="4" w:space="0"/>
            </w:tcBorders>
            <w:noWrap w:val="0"/>
            <w:vAlign w:val="center"/>
          </w:tcPr>
          <w:p w14:paraId="7FEC05EB">
            <w:pPr>
              <w:spacing w:line="360" w:lineRule="auto"/>
              <w:jc w:val="center"/>
              <w:rPr>
                <w:rFonts w:ascii="宋体" w:hAnsi="宋体"/>
                <w:sz w:val="24"/>
                <w:highlight w:val="none"/>
              </w:rPr>
            </w:pPr>
            <w:r>
              <w:rPr>
                <w:rFonts w:hint="eastAsia" w:ascii="宋体" w:hAnsi="宋体"/>
                <w:sz w:val="24"/>
                <w:highlight w:val="none"/>
              </w:rPr>
              <w:t>服务期</w:t>
            </w:r>
          </w:p>
        </w:tc>
        <w:tc>
          <w:tcPr>
            <w:tcW w:w="8151" w:type="dxa"/>
            <w:tcBorders>
              <w:left w:val="single" w:color="auto" w:sz="4" w:space="0"/>
            </w:tcBorders>
            <w:noWrap w:val="0"/>
            <w:vAlign w:val="center"/>
          </w:tcPr>
          <w:p w14:paraId="11458F8B">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一年。</w:t>
            </w:r>
          </w:p>
        </w:tc>
      </w:tr>
      <w:tr w14:paraId="4B2125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jc w:val="center"/>
        </w:trPr>
        <w:tc>
          <w:tcPr>
            <w:tcW w:w="619" w:type="dxa"/>
            <w:tcBorders>
              <w:right w:val="single" w:color="auto" w:sz="4" w:space="0"/>
            </w:tcBorders>
            <w:noWrap w:val="0"/>
            <w:vAlign w:val="center"/>
          </w:tcPr>
          <w:p w14:paraId="1417DABE">
            <w:pPr>
              <w:spacing w:line="360" w:lineRule="auto"/>
              <w:jc w:val="center"/>
              <w:rPr>
                <w:rFonts w:ascii="宋体" w:hAnsi="宋体"/>
                <w:sz w:val="24"/>
                <w:highlight w:val="none"/>
              </w:rPr>
            </w:pPr>
            <w:r>
              <w:rPr>
                <w:rFonts w:hint="eastAsia" w:ascii="宋体" w:hAnsi="宋体"/>
                <w:sz w:val="24"/>
                <w:highlight w:val="none"/>
              </w:rPr>
              <w:t>23</w:t>
            </w:r>
          </w:p>
        </w:tc>
        <w:tc>
          <w:tcPr>
            <w:tcW w:w="1504" w:type="dxa"/>
            <w:tcBorders>
              <w:right w:val="single" w:color="auto" w:sz="4" w:space="0"/>
            </w:tcBorders>
            <w:noWrap w:val="0"/>
            <w:vAlign w:val="center"/>
          </w:tcPr>
          <w:p w14:paraId="18E61726">
            <w:pPr>
              <w:spacing w:line="360" w:lineRule="auto"/>
              <w:jc w:val="center"/>
              <w:rPr>
                <w:rFonts w:ascii="宋体" w:hAnsi="宋体"/>
                <w:sz w:val="24"/>
                <w:highlight w:val="none"/>
              </w:rPr>
            </w:pPr>
            <w:r>
              <w:rPr>
                <w:rFonts w:hint="eastAsia" w:ascii="宋体" w:hAnsi="宋体" w:cs="宋体"/>
                <w:kern w:val="0"/>
                <w:sz w:val="24"/>
                <w:highlight w:val="none"/>
              </w:rPr>
              <w:t>付款方式</w:t>
            </w:r>
          </w:p>
        </w:tc>
        <w:tc>
          <w:tcPr>
            <w:tcW w:w="8151" w:type="dxa"/>
            <w:tcBorders>
              <w:left w:val="single" w:color="auto" w:sz="4" w:space="0"/>
            </w:tcBorders>
            <w:noWrap w:val="0"/>
            <w:vAlign w:val="center"/>
          </w:tcPr>
          <w:p w14:paraId="79ADE28A">
            <w:pPr>
              <w:spacing w:line="360" w:lineRule="auto"/>
              <w:ind w:firstLine="482" w:firstLineChars="200"/>
              <w:rPr>
                <w:rFonts w:hint="eastAsia" w:ascii="宋体" w:hAnsi="宋体" w:cs="宋体"/>
                <w:b/>
                <w:kern w:val="0"/>
                <w:sz w:val="24"/>
                <w:highlight w:val="none"/>
              </w:rPr>
            </w:pPr>
            <w:r>
              <w:rPr>
                <w:rFonts w:hint="eastAsia" w:ascii="宋体" w:hAnsi="宋体" w:cs="宋体"/>
                <w:b/>
                <w:kern w:val="0"/>
                <w:sz w:val="24"/>
                <w:highlight w:val="none"/>
              </w:rPr>
              <w:t>本项目无预付款，自服务开始后，下个月初付上个月的服务费（费用按甲方主管部门确定为准）。服务无任何质量问题和争议纠纷的并经乙方开具国家认可的全额发票后，由采购人支付上个月费用（不计利息）。如乙方未开具发票的，甲方有权拒绝付款。</w:t>
            </w:r>
          </w:p>
        </w:tc>
      </w:tr>
      <w:tr w14:paraId="5DF25D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jc w:val="center"/>
        </w:trPr>
        <w:tc>
          <w:tcPr>
            <w:tcW w:w="619" w:type="dxa"/>
            <w:tcBorders>
              <w:right w:val="single" w:color="auto" w:sz="4" w:space="0"/>
            </w:tcBorders>
            <w:noWrap w:val="0"/>
            <w:vAlign w:val="center"/>
          </w:tcPr>
          <w:p w14:paraId="123C752A">
            <w:pPr>
              <w:spacing w:line="360" w:lineRule="auto"/>
              <w:jc w:val="center"/>
              <w:rPr>
                <w:rFonts w:ascii="宋体" w:hAnsi="宋体"/>
                <w:sz w:val="24"/>
                <w:highlight w:val="none"/>
              </w:rPr>
            </w:pPr>
            <w:r>
              <w:rPr>
                <w:rFonts w:hint="eastAsia" w:ascii="宋体" w:hAnsi="宋体"/>
                <w:sz w:val="24"/>
                <w:highlight w:val="none"/>
              </w:rPr>
              <w:t>24</w:t>
            </w:r>
          </w:p>
        </w:tc>
        <w:tc>
          <w:tcPr>
            <w:tcW w:w="1504" w:type="dxa"/>
            <w:tcBorders>
              <w:right w:val="single" w:color="auto" w:sz="4" w:space="0"/>
            </w:tcBorders>
            <w:noWrap w:val="0"/>
            <w:vAlign w:val="center"/>
          </w:tcPr>
          <w:p w14:paraId="39D1AD80">
            <w:pPr>
              <w:spacing w:line="360" w:lineRule="auto"/>
              <w:jc w:val="center"/>
              <w:rPr>
                <w:rFonts w:ascii="宋体" w:hAnsi="宋体"/>
                <w:sz w:val="24"/>
                <w:highlight w:val="none"/>
              </w:rPr>
            </w:pPr>
            <w:r>
              <w:rPr>
                <w:rFonts w:hint="eastAsia" w:ascii="宋体" w:hAnsi="宋体"/>
                <w:sz w:val="24"/>
                <w:highlight w:val="none"/>
              </w:rPr>
              <w:t>是否统一踏勘现场</w:t>
            </w:r>
          </w:p>
        </w:tc>
        <w:tc>
          <w:tcPr>
            <w:tcW w:w="8151" w:type="dxa"/>
            <w:tcBorders>
              <w:left w:val="single" w:color="auto" w:sz="4" w:space="0"/>
            </w:tcBorders>
            <w:noWrap w:val="0"/>
            <w:vAlign w:val="center"/>
          </w:tcPr>
          <w:p w14:paraId="0CA83172">
            <w:pPr>
              <w:spacing w:line="360" w:lineRule="auto"/>
              <w:rPr>
                <w:rFonts w:ascii="宋体" w:hAnsi="宋体"/>
                <w:sz w:val="24"/>
                <w:highlight w:val="none"/>
              </w:rPr>
            </w:pPr>
            <w:r>
              <w:rPr>
                <w:rFonts w:hint="eastAsia" w:ascii="宋体" w:hAnsi="宋体"/>
                <w:sz w:val="24"/>
                <w:highlight w:val="none"/>
              </w:rPr>
              <w:t>本项目不统一踏勘现场，供应商须自行踏勘现场。</w:t>
            </w:r>
          </w:p>
        </w:tc>
      </w:tr>
      <w:tr w14:paraId="529E77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jc w:val="center"/>
        </w:trPr>
        <w:tc>
          <w:tcPr>
            <w:tcW w:w="619" w:type="dxa"/>
            <w:tcBorders>
              <w:right w:val="single" w:color="auto" w:sz="4" w:space="0"/>
            </w:tcBorders>
            <w:noWrap w:val="0"/>
            <w:vAlign w:val="center"/>
          </w:tcPr>
          <w:p w14:paraId="7485EEF6">
            <w:pPr>
              <w:spacing w:line="360" w:lineRule="auto"/>
              <w:jc w:val="center"/>
              <w:rPr>
                <w:rFonts w:ascii="宋体" w:hAnsi="宋体"/>
                <w:snapToGrid w:val="0"/>
                <w:kern w:val="0"/>
                <w:sz w:val="24"/>
                <w:highlight w:val="none"/>
              </w:rPr>
            </w:pPr>
            <w:r>
              <w:rPr>
                <w:rFonts w:hint="eastAsia" w:ascii="宋体" w:hAnsi="宋体"/>
                <w:snapToGrid w:val="0"/>
                <w:kern w:val="0"/>
                <w:sz w:val="24"/>
                <w:highlight w:val="none"/>
              </w:rPr>
              <w:t>25</w:t>
            </w:r>
          </w:p>
        </w:tc>
        <w:tc>
          <w:tcPr>
            <w:tcW w:w="1504" w:type="dxa"/>
            <w:tcBorders>
              <w:right w:val="single" w:color="auto" w:sz="4" w:space="0"/>
            </w:tcBorders>
            <w:noWrap w:val="0"/>
            <w:vAlign w:val="center"/>
          </w:tcPr>
          <w:p w14:paraId="296AE086">
            <w:pPr>
              <w:spacing w:line="360" w:lineRule="auto"/>
              <w:jc w:val="center"/>
              <w:rPr>
                <w:rFonts w:hint="eastAsia" w:ascii="宋体" w:hAnsi="宋体"/>
                <w:snapToGrid w:val="0"/>
                <w:kern w:val="0"/>
                <w:sz w:val="24"/>
                <w:highlight w:val="none"/>
              </w:rPr>
            </w:pPr>
            <w:r>
              <w:rPr>
                <w:rFonts w:hint="eastAsia" w:ascii="宋体" w:hAnsi="宋体"/>
                <w:snapToGrid w:val="0"/>
                <w:kern w:val="0"/>
                <w:sz w:val="24"/>
                <w:highlight w:val="none"/>
              </w:rPr>
              <w:t>采购标的对应的中小企业划分标准所属行业</w:t>
            </w:r>
          </w:p>
        </w:tc>
        <w:tc>
          <w:tcPr>
            <w:tcW w:w="8151" w:type="dxa"/>
            <w:tcBorders>
              <w:left w:val="single" w:color="auto" w:sz="4" w:space="0"/>
            </w:tcBorders>
            <w:noWrap w:val="0"/>
            <w:vAlign w:val="center"/>
          </w:tcPr>
          <w:p w14:paraId="07A7AFFB">
            <w:pPr>
              <w:spacing w:line="360" w:lineRule="auto"/>
              <w:rPr>
                <w:rFonts w:hint="eastAsia"/>
                <w:highlight w:val="none"/>
              </w:rPr>
            </w:pPr>
            <w:r>
              <w:rPr>
                <w:rFonts w:hint="eastAsia"/>
                <w:sz w:val="24"/>
                <w:highlight w:val="none"/>
              </w:rPr>
              <w:sym w:font="Wingdings 2" w:char="0052"/>
            </w:r>
            <w:r>
              <w:rPr>
                <w:rFonts w:hint="eastAsia"/>
                <w:sz w:val="24"/>
                <w:highlight w:val="none"/>
                <w:u w:val="single"/>
              </w:rPr>
              <w:t>租赁和商务服务业</w:t>
            </w:r>
            <w:r>
              <w:rPr>
                <w:rFonts w:hint="eastAsia" w:ascii="宋体" w:hAnsi="宋体" w:cs="宋体"/>
                <w:sz w:val="24"/>
                <w:highlight w:val="none"/>
                <w:u w:val="single"/>
              </w:rPr>
              <w:t>。</w:t>
            </w:r>
            <w:r>
              <w:rPr>
                <w:rFonts w:hint="eastAsia" w:ascii="宋体" w:hAnsi="宋体" w:cs="宋体"/>
                <w:kern w:val="0"/>
                <w:sz w:val="24"/>
                <w:highlight w:val="none"/>
              </w:rPr>
              <w:t>具体划分标准详见本章附表2</w:t>
            </w:r>
          </w:p>
          <w:p w14:paraId="57C2A016">
            <w:pPr>
              <w:pStyle w:val="172"/>
              <w:rPr>
                <w:color w:val="auto"/>
                <w:highlight w:val="none"/>
              </w:rPr>
            </w:pPr>
            <w:r>
              <w:rPr>
                <w:rFonts w:hint="eastAsia" w:hAnsi="宋体"/>
                <w:color w:val="auto"/>
                <w:highlight w:val="none"/>
              </w:rPr>
              <w:sym w:font="Wingdings 2" w:char="00A3"/>
            </w:r>
            <w:r>
              <w:rPr>
                <w:rFonts w:hint="eastAsia" w:hAnsi="宋体"/>
                <w:color w:val="auto"/>
                <w:highlight w:val="none"/>
              </w:rPr>
              <w:t>详见采购清单</w:t>
            </w:r>
          </w:p>
        </w:tc>
      </w:tr>
      <w:tr w14:paraId="38312C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jc w:val="center"/>
        </w:trPr>
        <w:tc>
          <w:tcPr>
            <w:tcW w:w="619" w:type="dxa"/>
            <w:tcBorders>
              <w:right w:val="single" w:color="auto" w:sz="4" w:space="0"/>
            </w:tcBorders>
            <w:noWrap w:val="0"/>
            <w:vAlign w:val="center"/>
          </w:tcPr>
          <w:p w14:paraId="48073082">
            <w:pPr>
              <w:spacing w:line="360" w:lineRule="auto"/>
              <w:jc w:val="center"/>
              <w:rPr>
                <w:rFonts w:hint="eastAsia" w:ascii="宋体" w:hAnsi="宋体"/>
                <w:sz w:val="24"/>
                <w:highlight w:val="none"/>
              </w:rPr>
            </w:pPr>
            <w:r>
              <w:rPr>
                <w:rFonts w:hint="eastAsia" w:ascii="宋体" w:hAnsi="宋体"/>
                <w:sz w:val="24"/>
                <w:highlight w:val="none"/>
              </w:rPr>
              <w:t>2</w:t>
            </w:r>
            <w:r>
              <w:rPr>
                <w:rFonts w:ascii="宋体" w:hAnsi="宋体"/>
                <w:sz w:val="24"/>
                <w:highlight w:val="none"/>
              </w:rPr>
              <w:t>6</w:t>
            </w:r>
          </w:p>
        </w:tc>
        <w:tc>
          <w:tcPr>
            <w:tcW w:w="9655" w:type="dxa"/>
            <w:gridSpan w:val="2"/>
            <w:noWrap w:val="0"/>
            <w:vAlign w:val="center"/>
          </w:tcPr>
          <w:p w14:paraId="3B23EE18">
            <w:pPr>
              <w:spacing w:line="360" w:lineRule="auto"/>
              <w:ind w:firstLine="480" w:firstLineChars="200"/>
              <w:rPr>
                <w:rFonts w:hint="eastAsia" w:ascii="宋体" w:hAnsi="宋体"/>
                <w:sz w:val="24"/>
                <w:highlight w:val="none"/>
              </w:rPr>
            </w:pPr>
            <w:r>
              <w:rPr>
                <w:rFonts w:hint="eastAsia" w:ascii="宋体" w:hAnsi="宋体"/>
                <w:bCs/>
                <w:sz w:val="24"/>
                <w:highlight w:val="none"/>
              </w:rPr>
              <w:t>★参与政府采购活动时，台式计算机，便携式计算机，平板式微型计算机，激光打印机，针式打印机，液晶显示器，制冷压缩机，空调机组，专用制冷、空调设备，管型荧光灯镇流器，空调机，电热水器，普通照明用双端荧光灯，电视设备，视频设备，便器（含坐便器、蹲便器、小便器），水嘴等为政府强制采购的节能产品。</w:t>
            </w:r>
            <w:r>
              <w:rPr>
                <w:rFonts w:hint="eastAsia" w:ascii="宋体" w:hAnsi="宋体"/>
                <w:sz w:val="24"/>
                <w:highlight w:val="none"/>
              </w:rPr>
              <w:t>所投产品属于政府强制采购范围内的产品，须在投标文件中提供该产品有效的《国家节能产品认证证书》复印件并加盖供应商公章。</w:t>
            </w:r>
            <w:r>
              <w:rPr>
                <w:rFonts w:hint="eastAsia" w:ascii="宋体" w:hAnsi="宋体"/>
                <w:b/>
                <w:sz w:val="24"/>
                <w:highlight w:val="none"/>
              </w:rPr>
              <w:t>未按强制节能清单参与报价或未按招标文件要求提供相关证明材料的，均属于无效报价。</w:t>
            </w:r>
          </w:p>
        </w:tc>
      </w:tr>
      <w:tr w14:paraId="2A412F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49" w:hRule="atLeast"/>
          <w:jc w:val="center"/>
        </w:trPr>
        <w:tc>
          <w:tcPr>
            <w:tcW w:w="619" w:type="dxa"/>
            <w:tcBorders>
              <w:right w:val="single" w:color="auto" w:sz="4" w:space="0"/>
            </w:tcBorders>
            <w:noWrap w:val="0"/>
            <w:vAlign w:val="center"/>
          </w:tcPr>
          <w:p w14:paraId="29C07846">
            <w:pPr>
              <w:spacing w:line="360" w:lineRule="auto"/>
              <w:jc w:val="center"/>
              <w:rPr>
                <w:rFonts w:ascii="宋体" w:hAnsi="宋体"/>
                <w:sz w:val="24"/>
                <w:highlight w:val="none"/>
              </w:rPr>
            </w:pPr>
            <w:r>
              <w:rPr>
                <w:rFonts w:hint="eastAsia" w:ascii="宋体" w:hAnsi="宋体"/>
                <w:sz w:val="24"/>
                <w:highlight w:val="none"/>
              </w:rPr>
              <w:t>2</w:t>
            </w:r>
            <w:r>
              <w:rPr>
                <w:rFonts w:ascii="宋体" w:hAnsi="宋体"/>
                <w:sz w:val="24"/>
                <w:highlight w:val="none"/>
              </w:rPr>
              <w:t>7</w:t>
            </w:r>
          </w:p>
        </w:tc>
        <w:tc>
          <w:tcPr>
            <w:tcW w:w="9655" w:type="dxa"/>
            <w:gridSpan w:val="2"/>
            <w:noWrap w:val="0"/>
            <w:vAlign w:val="center"/>
          </w:tcPr>
          <w:p w14:paraId="67407DCF">
            <w:pPr>
              <w:spacing w:line="360" w:lineRule="auto"/>
              <w:jc w:val="center"/>
              <w:rPr>
                <w:rFonts w:hint="eastAsia"/>
                <w:sz w:val="24"/>
                <w:highlight w:val="none"/>
              </w:rPr>
            </w:pPr>
            <w:r>
              <w:rPr>
                <w:rFonts w:hint="eastAsia"/>
                <w:sz w:val="24"/>
                <w:highlight w:val="none"/>
              </w:rPr>
              <w:t>说明</w:t>
            </w:r>
          </w:p>
          <w:p w14:paraId="27D70812">
            <w:pPr>
              <w:pStyle w:val="30"/>
              <w:spacing w:line="360" w:lineRule="auto"/>
              <w:rPr>
                <w:rFonts w:hint="eastAsia" w:ascii="宋体" w:hAnsi="宋体"/>
                <w:bCs/>
                <w:kern w:val="2"/>
                <w:szCs w:val="24"/>
                <w:highlight w:val="none"/>
              </w:rPr>
            </w:pPr>
            <w:r>
              <w:rPr>
                <w:rFonts w:hint="eastAsia" w:ascii="宋体" w:hAnsi="宋体"/>
                <w:bCs/>
                <w:kern w:val="2"/>
                <w:szCs w:val="24"/>
                <w:highlight w:val="none"/>
              </w:rPr>
              <w:t xml:space="preserve">1）招标文件标有“★”号条款要求的内容是实质性要求，不允许有负偏离，否则，该投标文件有可能因未响应招标文件规定的实质性要求而被否决； </w:t>
            </w:r>
          </w:p>
          <w:p w14:paraId="56DA7D8A">
            <w:pPr>
              <w:pStyle w:val="30"/>
              <w:spacing w:line="360" w:lineRule="auto"/>
              <w:rPr>
                <w:rFonts w:hint="eastAsia" w:ascii="宋体" w:hAnsi="宋体"/>
                <w:bCs/>
                <w:kern w:val="2"/>
                <w:szCs w:val="24"/>
                <w:highlight w:val="none"/>
              </w:rPr>
            </w:pPr>
            <w:r>
              <w:rPr>
                <w:rFonts w:hint="eastAsia" w:ascii="宋体" w:hAnsi="宋体"/>
                <w:bCs/>
                <w:kern w:val="2"/>
                <w:szCs w:val="24"/>
                <w:highlight w:val="none"/>
              </w:rPr>
              <w:t>2）招标文件各章节中，有加粗的文字，表示是重要的内容，应引起供应商的注意。</w:t>
            </w:r>
          </w:p>
          <w:p w14:paraId="6752351A">
            <w:pPr>
              <w:pStyle w:val="30"/>
              <w:spacing w:line="360" w:lineRule="auto"/>
              <w:rPr>
                <w:rFonts w:hint="eastAsia" w:ascii="宋体" w:hAnsi="宋体"/>
                <w:bCs/>
                <w:kern w:val="2"/>
                <w:szCs w:val="24"/>
                <w:highlight w:val="none"/>
              </w:rPr>
            </w:pPr>
            <w:r>
              <w:rPr>
                <w:rFonts w:hint="eastAsia" w:ascii="宋体" w:hAnsi="宋体"/>
                <w:bCs/>
                <w:kern w:val="2"/>
                <w:szCs w:val="24"/>
                <w:highlight w:val="none"/>
              </w:rPr>
              <w:t>3）采购人认为具备相关条件的，将在签订合同时对中小企业在资金支付期限、预付款比例等方面提供明确的优惠措施。</w:t>
            </w:r>
          </w:p>
          <w:p w14:paraId="1E1FFB15">
            <w:pPr>
              <w:pStyle w:val="30"/>
              <w:spacing w:line="360" w:lineRule="auto"/>
              <w:rPr>
                <w:rFonts w:hint="eastAsia" w:ascii="宋体" w:hAnsi="宋体"/>
                <w:bCs/>
                <w:kern w:val="2"/>
                <w:szCs w:val="24"/>
                <w:highlight w:val="none"/>
              </w:rPr>
            </w:pPr>
            <w:r>
              <w:rPr>
                <w:rFonts w:hint="eastAsia" w:ascii="宋体" w:hAnsi="宋体"/>
                <w:bCs/>
                <w:kern w:val="2"/>
                <w:szCs w:val="24"/>
                <w:highlight w:val="none"/>
              </w:rPr>
              <w:t>4）本文件中涉及的“单位公章”、“单位章”、“公章”“盖章”处均指与供应商名称全称相一致的标准公章，不得使用其他形式（如带有“专用章”、“合同章”、“财务章”、“业务章”等字样）的印章； 如供应商为自然人，上述关于印章的约定均指参与项目的该自然人签名。</w:t>
            </w:r>
          </w:p>
          <w:p w14:paraId="2B8B550C">
            <w:pPr>
              <w:spacing w:line="360" w:lineRule="auto"/>
              <w:rPr>
                <w:rFonts w:hint="eastAsia"/>
                <w:highlight w:val="none"/>
              </w:rPr>
            </w:pPr>
          </w:p>
        </w:tc>
      </w:tr>
      <w:tr w14:paraId="394F74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jc w:val="center"/>
        </w:trPr>
        <w:tc>
          <w:tcPr>
            <w:tcW w:w="619" w:type="dxa"/>
            <w:tcBorders>
              <w:right w:val="single" w:color="auto" w:sz="4" w:space="0"/>
            </w:tcBorders>
            <w:noWrap w:val="0"/>
            <w:vAlign w:val="center"/>
          </w:tcPr>
          <w:p w14:paraId="3CCC8C7F">
            <w:pPr>
              <w:spacing w:line="360" w:lineRule="auto"/>
              <w:jc w:val="center"/>
              <w:rPr>
                <w:rFonts w:hint="eastAsia" w:ascii="宋体" w:hAnsi="宋体" w:eastAsia="宋体"/>
                <w:sz w:val="24"/>
                <w:highlight w:val="none"/>
                <w:lang w:eastAsia="zh-CN"/>
              </w:rPr>
            </w:pPr>
            <w:r>
              <w:rPr>
                <w:rFonts w:hint="eastAsia" w:ascii="宋体" w:hAnsi="宋体"/>
                <w:sz w:val="24"/>
                <w:highlight w:val="none"/>
              </w:rPr>
              <w:t>2</w:t>
            </w:r>
            <w:r>
              <w:rPr>
                <w:rFonts w:hint="eastAsia" w:ascii="宋体" w:hAnsi="宋体"/>
                <w:sz w:val="24"/>
                <w:highlight w:val="none"/>
                <w:lang w:val="en-US" w:eastAsia="zh-CN"/>
              </w:rPr>
              <w:t>8</w:t>
            </w:r>
          </w:p>
        </w:tc>
        <w:tc>
          <w:tcPr>
            <w:tcW w:w="9655" w:type="dxa"/>
            <w:gridSpan w:val="2"/>
            <w:noWrap w:val="0"/>
            <w:vAlign w:val="center"/>
          </w:tcPr>
          <w:p w14:paraId="68BA571C">
            <w:pPr>
              <w:spacing w:line="360" w:lineRule="auto"/>
              <w:jc w:val="center"/>
              <w:rPr>
                <w:rFonts w:ascii="宋体" w:hAnsi="宋体"/>
                <w:b/>
                <w:bCs/>
                <w:sz w:val="24"/>
                <w:highlight w:val="none"/>
              </w:rPr>
            </w:pPr>
            <w:r>
              <w:rPr>
                <w:rFonts w:hint="eastAsia" w:ascii="宋体" w:hAnsi="宋体"/>
                <w:b/>
                <w:bCs/>
                <w:sz w:val="24"/>
                <w:highlight w:val="none"/>
              </w:rPr>
              <w:t>重要提示：</w:t>
            </w:r>
          </w:p>
          <w:p w14:paraId="16D13809">
            <w:pPr>
              <w:spacing w:line="360" w:lineRule="auto"/>
              <w:rPr>
                <w:rFonts w:hint="eastAsia" w:ascii="宋体" w:hAnsi="宋体" w:cs="宋体"/>
                <w:sz w:val="24"/>
                <w:highlight w:val="none"/>
              </w:rPr>
            </w:pPr>
            <w:r>
              <w:rPr>
                <w:rFonts w:hint="eastAsia" w:ascii="宋体" w:hAnsi="宋体" w:cs="宋体"/>
                <w:sz w:val="24"/>
                <w:highlight w:val="none"/>
              </w:rPr>
              <w:t>1、从泰安市公共资源交易中心新版交易平台→精细化服务→ 政府采购→我是供应商→业务指南/手册“投标单位电子投标文件制作操作手册”中下载投标文件制作软件,下载地址：泰安市公共资源交易中心新版交易平台（http://www.taggzyj y.com.cn:8081/）的下载中心栏目。</w:t>
            </w:r>
          </w:p>
          <w:p w14:paraId="407EEC07">
            <w:pPr>
              <w:spacing w:line="360" w:lineRule="auto"/>
              <w:rPr>
                <w:rFonts w:hint="eastAsia" w:ascii="宋体" w:hAnsi="宋体" w:cs="宋体"/>
                <w:sz w:val="24"/>
                <w:highlight w:val="none"/>
              </w:rPr>
            </w:pPr>
            <w:r>
              <w:rPr>
                <w:rFonts w:hint="eastAsia" w:ascii="宋体" w:hAnsi="宋体" w:cs="宋体"/>
                <w:sz w:val="24"/>
                <w:highlight w:val="none"/>
              </w:rPr>
              <w:t>2、使用投标文件制作软件制作电子投标文件时必须下载并使用最新的招标文件或者答疑澄清文件，具体操作详见泰安市公共资源交易中心新版交易平台→精细化服务→ 政府采购→我是供应商→业务指南/手册→政府采购业务操作手册-投标人。</w:t>
            </w:r>
          </w:p>
          <w:p w14:paraId="6864B614">
            <w:pPr>
              <w:spacing w:line="360" w:lineRule="auto"/>
              <w:rPr>
                <w:rFonts w:hint="eastAsia" w:ascii="宋体" w:hAnsi="宋体" w:cs="宋体"/>
                <w:sz w:val="24"/>
                <w:highlight w:val="none"/>
              </w:rPr>
            </w:pPr>
            <w:r>
              <w:rPr>
                <w:rFonts w:hint="eastAsia" w:ascii="宋体" w:hAnsi="宋体" w:cs="宋体"/>
                <w:sz w:val="24"/>
                <w:highlight w:val="none"/>
              </w:rPr>
              <w:t>3、制作电子投标文件时必须使用CA数字证书，并进行盖章，投标文件制作软件会生成两个投标文件，一个为加密的投标文件(TATF)，另外一个为非加密的投标文件(nTATF)。</w:t>
            </w:r>
          </w:p>
          <w:p w14:paraId="3A302288">
            <w:pPr>
              <w:spacing w:line="360" w:lineRule="auto"/>
              <w:rPr>
                <w:rFonts w:hint="eastAsia" w:ascii="宋体" w:hAnsi="宋体" w:cs="宋体"/>
                <w:sz w:val="24"/>
                <w:highlight w:val="none"/>
              </w:rPr>
            </w:pPr>
            <w:r>
              <w:rPr>
                <w:rFonts w:hint="eastAsia" w:ascii="宋体" w:hAnsi="宋体" w:cs="宋体"/>
                <w:sz w:val="24"/>
                <w:highlight w:val="none"/>
              </w:rPr>
              <w:t>4、制作电子投标文件时须确认CA数字证书未到期，若CA数字证书即将到期，必须续期后再制作电子投标文件，否则开标时电子投标文件可能会解密失败。</w:t>
            </w:r>
          </w:p>
        </w:tc>
      </w:tr>
    </w:tbl>
    <w:p w14:paraId="1898E343">
      <w:pPr>
        <w:pStyle w:val="11"/>
        <w:tabs>
          <w:tab w:val="left" w:pos="1146"/>
        </w:tabs>
        <w:spacing w:line="360" w:lineRule="auto"/>
        <w:ind w:left="571" w:leftChars="272" w:firstLine="2" w:firstLineChars="0"/>
        <w:jc w:val="center"/>
        <w:rPr>
          <w:rFonts w:ascii="宋体" w:hAnsi="宋体"/>
          <w:b/>
          <w:sz w:val="28"/>
          <w:highlight w:val="none"/>
        </w:rPr>
      </w:pPr>
      <w:bookmarkStart w:id="38" w:name="_Toc346372875"/>
    </w:p>
    <w:p w14:paraId="3C48E7AE">
      <w:pPr>
        <w:spacing w:line="360" w:lineRule="auto"/>
        <w:rPr>
          <w:rFonts w:ascii="宋体" w:hAnsi="宋体"/>
          <w:sz w:val="24"/>
          <w:highlight w:val="none"/>
        </w:rPr>
      </w:pPr>
      <w:r>
        <w:rPr>
          <w:rFonts w:ascii="宋体" w:hAnsi="宋体"/>
          <w:highlight w:val="none"/>
        </w:rPr>
        <w:tab/>
      </w:r>
      <w:r>
        <w:rPr>
          <w:rFonts w:ascii="宋体" w:hAnsi="宋体"/>
          <w:sz w:val="24"/>
          <w:highlight w:val="none"/>
        </w:rPr>
        <w:t>附表</w:t>
      </w:r>
      <w:r>
        <w:rPr>
          <w:rFonts w:hint="eastAsia" w:ascii="宋体" w:hAnsi="宋体"/>
          <w:sz w:val="24"/>
          <w:highlight w:val="none"/>
        </w:rPr>
        <w:t>1：</w:t>
      </w:r>
    </w:p>
    <w:p w14:paraId="686754E9">
      <w:pPr>
        <w:spacing w:line="360" w:lineRule="auto"/>
        <w:jc w:val="center"/>
        <w:rPr>
          <w:rFonts w:ascii="宋体" w:hAnsi="宋体"/>
          <w:sz w:val="24"/>
          <w:highlight w:val="none"/>
        </w:rPr>
      </w:pPr>
      <w:r>
        <w:rPr>
          <w:rFonts w:hint="eastAsia" w:ascii="宋体" w:hAnsi="宋体"/>
          <w:sz w:val="24"/>
          <w:highlight w:val="none"/>
        </w:rPr>
        <w:t>采购代理服务费收费标准</w:t>
      </w:r>
    </w:p>
    <w:tbl>
      <w:tblPr>
        <w:tblStyle w:val="75"/>
        <w:tblW w:w="9984" w:type="dxa"/>
        <w:tblInd w:w="-4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1"/>
        <w:gridCol w:w="2602"/>
        <w:gridCol w:w="2010"/>
        <w:gridCol w:w="1851"/>
      </w:tblGrid>
      <w:tr w14:paraId="7A68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3521" w:type="dxa"/>
            <w:tcBorders>
              <w:tl2br w:val="single" w:color="auto" w:sz="2" w:space="0"/>
            </w:tcBorders>
            <w:noWrap w:val="0"/>
            <w:vAlign w:val="center"/>
          </w:tcPr>
          <w:p w14:paraId="762B9172">
            <w:pPr>
              <w:widowControl/>
              <w:spacing w:line="360" w:lineRule="auto"/>
              <w:jc w:val="right"/>
              <w:rPr>
                <w:rFonts w:ascii="宋体" w:hAnsi="宋体" w:cs="楷体"/>
                <w:bCs/>
                <w:kern w:val="0"/>
                <w:sz w:val="24"/>
                <w:highlight w:val="none"/>
              </w:rPr>
            </w:pPr>
            <w:r>
              <w:rPr>
                <w:rFonts w:hint="eastAsia" w:ascii="宋体" w:hAnsi="宋体" w:cs="楷体"/>
                <w:bCs/>
                <w:kern w:val="0"/>
                <w:sz w:val="24"/>
                <w:highlight w:val="none"/>
              </w:rPr>
              <w:t>代理服务类型</w:t>
            </w:r>
          </w:p>
          <w:p w14:paraId="79389C9F">
            <w:pPr>
              <w:widowControl/>
              <w:spacing w:line="360" w:lineRule="auto"/>
              <w:jc w:val="left"/>
              <w:rPr>
                <w:rFonts w:ascii="宋体" w:hAnsi="宋体" w:cs="楷体"/>
                <w:bCs/>
                <w:kern w:val="0"/>
                <w:sz w:val="24"/>
                <w:highlight w:val="none"/>
              </w:rPr>
            </w:pPr>
            <w:r>
              <w:rPr>
                <w:rFonts w:hint="eastAsia" w:ascii="宋体" w:hAnsi="宋体" w:cs="楷体"/>
                <w:bCs/>
                <w:kern w:val="0"/>
                <w:sz w:val="24"/>
                <w:highlight w:val="none"/>
              </w:rPr>
              <w:t>中标（成交）</w:t>
            </w:r>
          </w:p>
          <w:p w14:paraId="6D820F95">
            <w:pPr>
              <w:widowControl/>
              <w:spacing w:line="360" w:lineRule="auto"/>
              <w:jc w:val="left"/>
              <w:rPr>
                <w:rFonts w:ascii="宋体" w:hAnsi="宋体" w:cs="楷体"/>
                <w:kern w:val="0"/>
                <w:sz w:val="24"/>
                <w:highlight w:val="none"/>
              </w:rPr>
            </w:pPr>
            <w:r>
              <w:rPr>
                <w:rFonts w:hint="eastAsia" w:ascii="宋体" w:hAnsi="宋体" w:cs="楷体"/>
                <w:bCs/>
                <w:kern w:val="0"/>
                <w:sz w:val="24"/>
                <w:highlight w:val="none"/>
              </w:rPr>
              <w:t>金额（万元）</w:t>
            </w:r>
          </w:p>
        </w:tc>
        <w:tc>
          <w:tcPr>
            <w:tcW w:w="2602" w:type="dxa"/>
            <w:noWrap w:val="0"/>
            <w:vAlign w:val="center"/>
          </w:tcPr>
          <w:p w14:paraId="41349AF7">
            <w:pPr>
              <w:widowControl/>
              <w:spacing w:line="360" w:lineRule="auto"/>
              <w:jc w:val="center"/>
              <w:rPr>
                <w:rFonts w:ascii="宋体" w:hAnsi="宋体" w:cs="楷体"/>
                <w:kern w:val="0"/>
                <w:sz w:val="24"/>
                <w:highlight w:val="none"/>
              </w:rPr>
            </w:pPr>
            <w:r>
              <w:rPr>
                <w:rFonts w:hint="eastAsia" w:ascii="宋体" w:hAnsi="宋体" w:cs="楷体"/>
                <w:bCs/>
                <w:kern w:val="0"/>
                <w:sz w:val="24"/>
                <w:highlight w:val="none"/>
              </w:rPr>
              <w:t>货物采购</w:t>
            </w:r>
          </w:p>
        </w:tc>
        <w:tc>
          <w:tcPr>
            <w:tcW w:w="2010" w:type="dxa"/>
            <w:noWrap w:val="0"/>
            <w:vAlign w:val="center"/>
          </w:tcPr>
          <w:p w14:paraId="52A59A39">
            <w:pPr>
              <w:widowControl/>
              <w:spacing w:line="360" w:lineRule="auto"/>
              <w:jc w:val="center"/>
              <w:rPr>
                <w:rFonts w:ascii="宋体" w:hAnsi="宋体" w:cs="楷体"/>
                <w:kern w:val="0"/>
                <w:sz w:val="24"/>
                <w:highlight w:val="none"/>
              </w:rPr>
            </w:pPr>
            <w:r>
              <w:rPr>
                <w:rFonts w:hint="eastAsia" w:ascii="宋体" w:hAnsi="宋体" w:cs="楷体"/>
                <w:bCs/>
                <w:kern w:val="0"/>
                <w:sz w:val="24"/>
                <w:highlight w:val="none"/>
              </w:rPr>
              <w:t>服务采购</w:t>
            </w:r>
          </w:p>
        </w:tc>
        <w:tc>
          <w:tcPr>
            <w:tcW w:w="1851" w:type="dxa"/>
            <w:noWrap w:val="0"/>
            <w:vAlign w:val="center"/>
          </w:tcPr>
          <w:p w14:paraId="1F836E91">
            <w:pPr>
              <w:widowControl/>
              <w:spacing w:line="360" w:lineRule="auto"/>
              <w:jc w:val="center"/>
              <w:rPr>
                <w:rFonts w:ascii="宋体" w:hAnsi="宋体" w:cs="楷体"/>
                <w:kern w:val="0"/>
                <w:sz w:val="24"/>
                <w:highlight w:val="none"/>
              </w:rPr>
            </w:pPr>
            <w:r>
              <w:rPr>
                <w:rFonts w:hint="eastAsia" w:ascii="宋体" w:hAnsi="宋体" w:cs="楷体"/>
                <w:bCs/>
                <w:kern w:val="0"/>
                <w:sz w:val="24"/>
                <w:highlight w:val="none"/>
              </w:rPr>
              <w:t>工程采购</w:t>
            </w:r>
          </w:p>
        </w:tc>
      </w:tr>
      <w:tr w14:paraId="00B1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521" w:type="dxa"/>
            <w:noWrap w:val="0"/>
            <w:vAlign w:val="center"/>
          </w:tcPr>
          <w:p w14:paraId="7327803D">
            <w:pPr>
              <w:widowControl/>
              <w:spacing w:line="360" w:lineRule="auto"/>
              <w:jc w:val="left"/>
              <w:rPr>
                <w:rFonts w:ascii="宋体" w:hAnsi="宋体" w:cs="楷体"/>
                <w:kern w:val="0"/>
                <w:sz w:val="24"/>
                <w:highlight w:val="none"/>
              </w:rPr>
            </w:pPr>
            <w:r>
              <w:rPr>
                <w:rFonts w:hint="eastAsia" w:ascii="宋体" w:hAnsi="宋体" w:cs="楷体"/>
                <w:kern w:val="0"/>
                <w:sz w:val="24"/>
                <w:highlight w:val="none"/>
              </w:rPr>
              <w:t>100以下</w:t>
            </w:r>
          </w:p>
        </w:tc>
        <w:tc>
          <w:tcPr>
            <w:tcW w:w="2602" w:type="dxa"/>
            <w:noWrap w:val="0"/>
            <w:vAlign w:val="center"/>
          </w:tcPr>
          <w:p w14:paraId="26C523DB">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1.5％</w:t>
            </w:r>
          </w:p>
        </w:tc>
        <w:tc>
          <w:tcPr>
            <w:tcW w:w="2010" w:type="dxa"/>
            <w:noWrap w:val="0"/>
            <w:vAlign w:val="center"/>
          </w:tcPr>
          <w:p w14:paraId="406BD958">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1.5％</w:t>
            </w:r>
          </w:p>
        </w:tc>
        <w:tc>
          <w:tcPr>
            <w:tcW w:w="1851" w:type="dxa"/>
            <w:noWrap w:val="0"/>
            <w:vAlign w:val="center"/>
          </w:tcPr>
          <w:p w14:paraId="2FCE20C6">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1.0％</w:t>
            </w:r>
          </w:p>
        </w:tc>
      </w:tr>
      <w:tr w14:paraId="5144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3521" w:type="dxa"/>
            <w:noWrap w:val="0"/>
            <w:vAlign w:val="center"/>
          </w:tcPr>
          <w:p w14:paraId="4797728D">
            <w:pPr>
              <w:widowControl/>
              <w:spacing w:line="360" w:lineRule="auto"/>
              <w:jc w:val="left"/>
              <w:rPr>
                <w:rFonts w:ascii="宋体" w:hAnsi="宋体" w:cs="楷体"/>
                <w:kern w:val="0"/>
                <w:sz w:val="24"/>
                <w:highlight w:val="none"/>
              </w:rPr>
            </w:pPr>
            <w:r>
              <w:rPr>
                <w:rFonts w:hint="eastAsia" w:ascii="宋体" w:hAnsi="宋体" w:cs="楷体"/>
                <w:kern w:val="0"/>
                <w:sz w:val="24"/>
                <w:highlight w:val="none"/>
              </w:rPr>
              <w:t>100—500</w:t>
            </w:r>
          </w:p>
        </w:tc>
        <w:tc>
          <w:tcPr>
            <w:tcW w:w="2602" w:type="dxa"/>
            <w:noWrap w:val="0"/>
            <w:vAlign w:val="center"/>
          </w:tcPr>
          <w:p w14:paraId="1D54DC14">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1.1％</w:t>
            </w:r>
          </w:p>
        </w:tc>
        <w:tc>
          <w:tcPr>
            <w:tcW w:w="2010" w:type="dxa"/>
            <w:noWrap w:val="0"/>
            <w:vAlign w:val="center"/>
          </w:tcPr>
          <w:p w14:paraId="30B8C5A9">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0.8％</w:t>
            </w:r>
          </w:p>
        </w:tc>
        <w:tc>
          <w:tcPr>
            <w:tcW w:w="1851" w:type="dxa"/>
            <w:noWrap w:val="0"/>
            <w:vAlign w:val="center"/>
          </w:tcPr>
          <w:p w14:paraId="4FC3E35D">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0.7％</w:t>
            </w:r>
          </w:p>
        </w:tc>
      </w:tr>
      <w:tr w14:paraId="03ED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3521" w:type="dxa"/>
            <w:noWrap w:val="0"/>
            <w:vAlign w:val="center"/>
          </w:tcPr>
          <w:p w14:paraId="5FF9C3CA">
            <w:pPr>
              <w:widowControl/>
              <w:spacing w:line="360" w:lineRule="auto"/>
              <w:jc w:val="left"/>
              <w:rPr>
                <w:rFonts w:ascii="宋体" w:hAnsi="宋体" w:cs="楷体"/>
                <w:kern w:val="0"/>
                <w:sz w:val="24"/>
                <w:highlight w:val="none"/>
              </w:rPr>
            </w:pPr>
            <w:r>
              <w:rPr>
                <w:rFonts w:hint="eastAsia" w:ascii="宋体" w:hAnsi="宋体" w:cs="楷体"/>
                <w:kern w:val="0"/>
                <w:sz w:val="24"/>
                <w:highlight w:val="none"/>
              </w:rPr>
              <w:t>500—1000</w:t>
            </w:r>
          </w:p>
        </w:tc>
        <w:tc>
          <w:tcPr>
            <w:tcW w:w="2602" w:type="dxa"/>
            <w:noWrap w:val="0"/>
            <w:vAlign w:val="center"/>
          </w:tcPr>
          <w:p w14:paraId="57467202">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0.8％</w:t>
            </w:r>
          </w:p>
        </w:tc>
        <w:tc>
          <w:tcPr>
            <w:tcW w:w="2010" w:type="dxa"/>
            <w:noWrap w:val="0"/>
            <w:vAlign w:val="center"/>
          </w:tcPr>
          <w:p w14:paraId="38ADFD09">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0.45％</w:t>
            </w:r>
          </w:p>
        </w:tc>
        <w:tc>
          <w:tcPr>
            <w:tcW w:w="1851" w:type="dxa"/>
            <w:noWrap w:val="0"/>
            <w:vAlign w:val="center"/>
          </w:tcPr>
          <w:p w14:paraId="5D8D59D9">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0.55％</w:t>
            </w:r>
          </w:p>
        </w:tc>
      </w:tr>
      <w:tr w14:paraId="1877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521" w:type="dxa"/>
            <w:noWrap w:val="0"/>
            <w:vAlign w:val="center"/>
          </w:tcPr>
          <w:p w14:paraId="5A79CED2">
            <w:pPr>
              <w:widowControl/>
              <w:spacing w:line="360" w:lineRule="auto"/>
              <w:jc w:val="left"/>
              <w:rPr>
                <w:rFonts w:ascii="宋体" w:hAnsi="宋体" w:cs="楷体"/>
                <w:kern w:val="0"/>
                <w:sz w:val="24"/>
                <w:highlight w:val="none"/>
              </w:rPr>
            </w:pPr>
            <w:r>
              <w:rPr>
                <w:rFonts w:hint="eastAsia" w:ascii="宋体" w:hAnsi="宋体" w:cs="楷体"/>
                <w:kern w:val="0"/>
                <w:sz w:val="24"/>
                <w:highlight w:val="none"/>
              </w:rPr>
              <w:t>1000—5000</w:t>
            </w:r>
          </w:p>
        </w:tc>
        <w:tc>
          <w:tcPr>
            <w:tcW w:w="2602" w:type="dxa"/>
            <w:noWrap w:val="0"/>
            <w:vAlign w:val="center"/>
          </w:tcPr>
          <w:p w14:paraId="0593F0EA">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0.5％</w:t>
            </w:r>
          </w:p>
        </w:tc>
        <w:tc>
          <w:tcPr>
            <w:tcW w:w="2010" w:type="dxa"/>
            <w:noWrap w:val="0"/>
            <w:vAlign w:val="center"/>
          </w:tcPr>
          <w:p w14:paraId="21B1DEA3">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0.25％</w:t>
            </w:r>
          </w:p>
        </w:tc>
        <w:tc>
          <w:tcPr>
            <w:tcW w:w="1851" w:type="dxa"/>
            <w:noWrap w:val="0"/>
            <w:vAlign w:val="center"/>
          </w:tcPr>
          <w:p w14:paraId="65A6FC33">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0.35％</w:t>
            </w:r>
          </w:p>
        </w:tc>
      </w:tr>
      <w:tr w14:paraId="7A8B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3521" w:type="dxa"/>
            <w:noWrap w:val="0"/>
            <w:vAlign w:val="center"/>
          </w:tcPr>
          <w:p w14:paraId="242730BF">
            <w:pPr>
              <w:widowControl/>
              <w:spacing w:line="360" w:lineRule="auto"/>
              <w:jc w:val="left"/>
              <w:rPr>
                <w:rFonts w:ascii="宋体" w:hAnsi="宋体" w:cs="楷体"/>
                <w:kern w:val="0"/>
                <w:sz w:val="24"/>
                <w:highlight w:val="none"/>
              </w:rPr>
            </w:pPr>
            <w:r>
              <w:rPr>
                <w:rFonts w:hint="eastAsia" w:ascii="宋体" w:hAnsi="宋体" w:cs="楷体"/>
                <w:kern w:val="0"/>
                <w:sz w:val="24"/>
                <w:highlight w:val="none"/>
              </w:rPr>
              <w:t>5000—10000</w:t>
            </w:r>
          </w:p>
        </w:tc>
        <w:tc>
          <w:tcPr>
            <w:tcW w:w="2602" w:type="dxa"/>
            <w:noWrap w:val="0"/>
            <w:vAlign w:val="center"/>
          </w:tcPr>
          <w:p w14:paraId="0829F7F8">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0.25％</w:t>
            </w:r>
          </w:p>
        </w:tc>
        <w:tc>
          <w:tcPr>
            <w:tcW w:w="2010" w:type="dxa"/>
            <w:noWrap w:val="0"/>
            <w:vAlign w:val="center"/>
          </w:tcPr>
          <w:p w14:paraId="70BB8FDC">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0.1％</w:t>
            </w:r>
          </w:p>
        </w:tc>
        <w:tc>
          <w:tcPr>
            <w:tcW w:w="1851" w:type="dxa"/>
            <w:noWrap w:val="0"/>
            <w:vAlign w:val="center"/>
          </w:tcPr>
          <w:p w14:paraId="605C03A0">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0.2％</w:t>
            </w:r>
          </w:p>
        </w:tc>
      </w:tr>
      <w:tr w14:paraId="2357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521" w:type="dxa"/>
            <w:noWrap w:val="0"/>
            <w:vAlign w:val="center"/>
          </w:tcPr>
          <w:p w14:paraId="1CDB2261">
            <w:pPr>
              <w:widowControl/>
              <w:spacing w:line="360" w:lineRule="auto"/>
              <w:jc w:val="left"/>
              <w:rPr>
                <w:rFonts w:ascii="宋体" w:hAnsi="宋体" w:cs="楷体"/>
                <w:kern w:val="0"/>
                <w:sz w:val="24"/>
                <w:highlight w:val="none"/>
              </w:rPr>
            </w:pPr>
            <w:r>
              <w:rPr>
                <w:rFonts w:hint="eastAsia" w:ascii="宋体" w:hAnsi="宋体" w:cs="楷体"/>
                <w:kern w:val="0"/>
                <w:sz w:val="24"/>
                <w:highlight w:val="none"/>
              </w:rPr>
              <w:t>10000—100000</w:t>
            </w:r>
          </w:p>
        </w:tc>
        <w:tc>
          <w:tcPr>
            <w:tcW w:w="2602" w:type="dxa"/>
            <w:noWrap w:val="0"/>
            <w:vAlign w:val="center"/>
          </w:tcPr>
          <w:p w14:paraId="4D571E28">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0.05％</w:t>
            </w:r>
          </w:p>
        </w:tc>
        <w:tc>
          <w:tcPr>
            <w:tcW w:w="2010" w:type="dxa"/>
            <w:noWrap w:val="0"/>
            <w:vAlign w:val="center"/>
          </w:tcPr>
          <w:p w14:paraId="34F956A9">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0.05％</w:t>
            </w:r>
          </w:p>
        </w:tc>
        <w:tc>
          <w:tcPr>
            <w:tcW w:w="1851" w:type="dxa"/>
            <w:noWrap w:val="0"/>
            <w:vAlign w:val="center"/>
          </w:tcPr>
          <w:p w14:paraId="60451794">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0.05％</w:t>
            </w:r>
          </w:p>
        </w:tc>
      </w:tr>
      <w:tr w14:paraId="76C3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521" w:type="dxa"/>
            <w:noWrap w:val="0"/>
            <w:vAlign w:val="center"/>
          </w:tcPr>
          <w:p w14:paraId="38B8C97B">
            <w:pPr>
              <w:widowControl/>
              <w:spacing w:line="360" w:lineRule="auto"/>
              <w:jc w:val="left"/>
              <w:rPr>
                <w:rFonts w:ascii="宋体" w:hAnsi="宋体" w:cs="楷体"/>
                <w:kern w:val="0"/>
                <w:sz w:val="24"/>
                <w:highlight w:val="none"/>
              </w:rPr>
            </w:pPr>
            <w:r>
              <w:rPr>
                <w:rFonts w:hint="eastAsia" w:ascii="宋体" w:hAnsi="宋体" w:cs="楷体"/>
                <w:kern w:val="0"/>
                <w:sz w:val="24"/>
                <w:highlight w:val="none"/>
              </w:rPr>
              <w:t>100000以上</w:t>
            </w:r>
          </w:p>
        </w:tc>
        <w:tc>
          <w:tcPr>
            <w:tcW w:w="2602" w:type="dxa"/>
            <w:noWrap w:val="0"/>
            <w:vAlign w:val="center"/>
          </w:tcPr>
          <w:p w14:paraId="01AC1997">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0.01％</w:t>
            </w:r>
          </w:p>
        </w:tc>
        <w:tc>
          <w:tcPr>
            <w:tcW w:w="2010" w:type="dxa"/>
            <w:noWrap w:val="0"/>
            <w:vAlign w:val="center"/>
          </w:tcPr>
          <w:p w14:paraId="777EF89C">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0.01％</w:t>
            </w:r>
          </w:p>
        </w:tc>
        <w:tc>
          <w:tcPr>
            <w:tcW w:w="1851" w:type="dxa"/>
            <w:noWrap w:val="0"/>
            <w:vAlign w:val="center"/>
          </w:tcPr>
          <w:p w14:paraId="7B048B6E">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0.01％</w:t>
            </w:r>
          </w:p>
        </w:tc>
      </w:tr>
    </w:tbl>
    <w:p w14:paraId="732CB130">
      <w:pPr>
        <w:pStyle w:val="11"/>
        <w:tabs>
          <w:tab w:val="left" w:pos="780"/>
          <w:tab w:val="left" w:pos="1146"/>
        </w:tabs>
        <w:spacing w:line="360" w:lineRule="auto"/>
        <w:ind w:left="571" w:leftChars="272" w:firstLine="2" w:firstLineChars="0"/>
        <w:rPr>
          <w:rFonts w:ascii="宋体" w:hAnsi="宋体"/>
          <w:highlight w:val="none"/>
        </w:rPr>
      </w:pPr>
      <w:r>
        <w:rPr>
          <w:rFonts w:ascii="宋体" w:hAnsi="宋体"/>
          <w:highlight w:val="none"/>
        </w:rPr>
        <w:tab/>
      </w:r>
    </w:p>
    <w:p w14:paraId="3E4C38FE">
      <w:pPr>
        <w:pStyle w:val="11"/>
        <w:tabs>
          <w:tab w:val="left" w:pos="1146"/>
        </w:tabs>
        <w:spacing w:line="560" w:lineRule="exact"/>
        <w:ind w:left="0" w:leftChars="0" w:firstLine="0" w:firstLineChars="0"/>
        <w:jc w:val="left"/>
        <w:rPr>
          <w:rFonts w:ascii="宋体" w:hAnsi="宋体" w:eastAsia="宋体"/>
          <w:snapToGrid w:val="0"/>
          <w:kern w:val="0"/>
          <w:sz w:val="24"/>
          <w:highlight w:val="none"/>
        </w:rPr>
      </w:pPr>
      <w:r>
        <w:rPr>
          <w:rFonts w:hint="eastAsia" w:ascii="宋体" w:hAnsi="宋体" w:eastAsia="宋体"/>
          <w:snapToGrid w:val="0"/>
          <w:kern w:val="0"/>
          <w:sz w:val="24"/>
          <w:highlight w:val="none"/>
        </w:rPr>
        <w:br w:type="page"/>
      </w:r>
      <w:r>
        <w:rPr>
          <w:rFonts w:hint="eastAsia" w:ascii="宋体" w:hAnsi="宋体" w:eastAsia="宋体"/>
          <w:snapToGrid w:val="0"/>
          <w:kern w:val="0"/>
          <w:sz w:val="24"/>
          <w:highlight w:val="none"/>
        </w:rPr>
        <w:t>附表2</w:t>
      </w:r>
    </w:p>
    <w:p w14:paraId="7E7AE369">
      <w:pPr>
        <w:pStyle w:val="69"/>
        <w:spacing w:line="432" w:lineRule="auto"/>
        <w:jc w:val="center"/>
        <w:rPr>
          <w:rStyle w:val="121"/>
          <w:rFonts w:ascii="宋体" w:hAnsi="宋体" w:eastAsia="宋体" w:cs="宋体"/>
          <w:color w:val="000000"/>
          <w:sz w:val="36"/>
          <w:szCs w:val="36"/>
          <w:highlight w:val="none"/>
        </w:rPr>
      </w:pPr>
      <w:r>
        <w:rPr>
          <w:rStyle w:val="121"/>
          <w:rFonts w:hint="eastAsia" w:ascii="宋体" w:hAnsi="宋体" w:eastAsia="宋体" w:cs="宋体"/>
          <w:color w:val="000000"/>
          <w:sz w:val="36"/>
          <w:szCs w:val="36"/>
          <w:highlight w:val="none"/>
        </w:rPr>
        <w:t>关于印发中小企业划型标准规定的通知</w:t>
      </w:r>
    </w:p>
    <w:p w14:paraId="2638516F">
      <w:pPr>
        <w:pStyle w:val="69"/>
        <w:spacing w:line="432" w:lineRule="auto"/>
        <w:jc w:val="center"/>
        <w:rPr>
          <w:rFonts w:ascii="宋体" w:hAnsi="宋体" w:eastAsia="宋体"/>
          <w:highlight w:val="none"/>
        </w:rPr>
      </w:pPr>
      <w:r>
        <w:rPr>
          <w:rFonts w:ascii="宋体" w:hAnsi="宋体" w:eastAsia="宋体" w:cs="楷体_GB2312"/>
          <w:color w:val="000000"/>
          <w:highlight w:val="none"/>
        </w:rPr>
        <w:t>工信部联企业〔2011〕300号</w:t>
      </w:r>
    </w:p>
    <w:p w14:paraId="5EA29908">
      <w:pPr>
        <w:pStyle w:val="69"/>
        <w:spacing w:line="432" w:lineRule="auto"/>
        <w:rPr>
          <w:rFonts w:ascii="宋体" w:hAnsi="宋体" w:eastAsia="宋体"/>
          <w:color w:val="000000"/>
          <w:highlight w:val="none"/>
        </w:rPr>
      </w:pPr>
      <w:r>
        <w:rPr>
          <w:rFonts w:hint="eastAsia" w:ascii="宋体" w:hAnsi="宋体" w:eastAsia="宋体"/>
          <w:color w:val="000000"/>
          <w:highlight w:val="none"/>
        </w:rPr>
        <w:t>各省、自治区、直辖市人民政府，国务院各部委、各直属机构及有关单位：</w:t>
      </w:r>
    </w:p>
    <w:p w14:paraId="3937B123">
      <w:pPr>
        <w:pStyle w:val="69"/>
        <w:spacing w:line="432" w:lineRule="auto"/>
        <w:rPr>
          <w:rFonts w:ascii="宋体" w:hAnsi="宋体" w:eastAsia="宋体"/>
          <w:color w:val="000000"/>
          <w:highlight w:val="none"/>
        </w:rPr>
      </w:pPr>
      <w:r>
        <w:rPr>
          <w:rFonts w:hint="eastAsia" w:ascii="宋体" w:hAnsi="宋体" w:eastAsia="宋体"/>
          <w:color w:val="000000"/>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75211A10">
      <w:pPr>
        <w:pStyle w:val="69"/>
        <w:spacing w:line="432" w:lineRule="auto"/>
        <w:rPr>
          <w:rFonts w:ascii="宋体" w:hAnsi="宋体" w:eastAsia="宋体"/>
          <w:color w:val="000000"/>
          <w:highlight w:val="none"/>
        </w:rPr>
      </w:pPr>
      <w:r>
        <w:rPr>
          <w:rFonts w:hint="eastAsia" w:ascii="宋体" w:hAnsi="宋体" w:eastAsia="宋体"/>
          <w:color w:val="000000"/>
          <w:highlight w:val="none"/>
        </w:rPr>
        <w:t>　　　　　　　　　　　　　　　　　　　　　　 工业和信息化部　国家统计局</w:t>
      </w:r>
    </w:p>
    <w:p w14:paraId="4867249C">
      <w:pPr>
        <w:pStyle w:val="69"/>
        <w:spacing w:line="432" w:lineRule="auto"/>
        <w:rPr>
          <w:rFonts w:ascii="宋体" w:hAnsi="宋体" w:eastAsia="宋体"/>
          <w:color w:val="000000"/>
          <w:highlight w:val="none"/>
        </w:rPr>
      </w:pPr>
      <w:r>
        <w:rPr>
          <w:rFonts w:hint="eastAsia" w:ascii="宋体" w:hAnsi="宋体" w:eastAsia="宋体"/>
          <w:color w:val="000000"/>
          <w:highlight w:val="none"/>
        </w:rPr>
        <w:t>　　　　　　　　　　　　　　　　　　　　　国家发展和改革委员会　财政部</w:t>
      </w:r>
    </w:p>
    <w:p w14:paraId="1947E8F3">
      <w:pPr>
        <w:pStyle w:val="69"/>
        <w:spacing w:line="432" w:lineRule="auto"/>
        <w:rPr>
          <w:rFonts w:ascii="宋体" w:hAnsi="宋体" w:eastAsia="宋体"/>
          <w:highlight w:val="none"/>
        </w:rPr>
      </w:pPr>
      <w:r>
        <w:rPr>
          <w:rFonts w:hint="eastAsia" w:ascii="宋体" w:hAnsi="宋体" w:eastAsia="宋体"/>
          <w:color w:val="000000"/>
          <w:highlight w:val="none"/>
        </w:rPr>
        <w:t>　　　　　　　　　　　　　　　　　　　　　　　　二○一一年六月十八日</w:t>
      </w:r>
    </w:p>
    <w:p w14:paraId="519BBDB5">
      <w:pPr>
        <w:pStyle w:val="69"/>
        <w:spacing w:line="432" w:lineRule="auto"/>
        <w:rPr>
          <w:rFonts w:ascii="宋体" w:hAnsi="宋体" w:eastAsia="宋体"/>
          <w:highlight w:val="none"/>
        </w:rPr>
      </w:pPr>
      <w:r>
        <w:rPr>
          <w:rFonts w:hint="eastAsia" w:ascii="宋体" w:hAnsi="宋体" w:eastAsia="宋体"/>
          <w:color w:val="000000"/>
          <w:highlight w:val="none"/>
        </w:rPr>
        <w:t> </w:t>
      </w:r>
    </w:p>
    <w:p w14:paraId="6B396920">
      <w:pPr>
        <w:pStyle w:val="69"/>
        <w:spacing w:line="432" w:lineRule="auto"/>
        <w:jc w:val="center"/>
        <w:rPr>
          <w:rFonts w:ascii="宋体" w:hAnsi="宋体" w:eastAsia="宋体"/>
          <w:highlight w:val="none"/>
        </w:rPr>
      </w:pPr>
      <w:r>
        <w:rPr>
          <w:rStyle w:val="121"/>
          <w:rFonts w:hint="eastAsia" w:ascii="宋体" w:hAnsi="宋体" w:eastAsia="宋体" w:cs="宋体"/>
          <w:color w:val="000000"/>
          <w:sz w:val="36"/>
          <w:szCs w:val="36"/>
          <w:highlight w:val="none"/>
        </w:rPr>
        <w:t>中小企业划型标准规定</w:t>
      </w:r>
    </w:p>
    <w:p w14:paraId="287654C6">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一、根据《中华人民共和国中小企业促进法》和《国务院关于进一步促进中小企业发展的若干意见》</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国发〔2009〕36号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，制定本规定。</w:t>
      </w:r>
    </w:p>
    <w:p w14:paraId="694D5408">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二、中小企业划分为中型、小型、微型三种类型，具体标准根据企业从业人员、营业收入、资产总额等指标，结合行业特点制定。</w:t>
      </w:r>
    </w:p>
    <w:p w14:paraId="6D1A68B1">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A1A0D26">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四、各行业划型标准为：</w:t>
      </w:r>
    </w:p>
    <w:p w14:paraId="24E73C65">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（一）农、林、牧、渔业。营业收入20000万元以下的为中小微型企业。其中，营业收入500万元及以上的为中型企业，营业收入50万元及以上的为小型企业，营业收入50万元以下的为微型企业。</w:t>
      </w:r>
    </w:p>
    <w:p w14:paraId="5B5E9713">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93D1A2C">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9AA52FA">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E4E1CC8">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15098A8">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795EB69">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10E48B5">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BAE064B">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E362916">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CE20F1F">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A233B0E">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BD0EC63">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264F38E">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F388BDB">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2E14398D">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（十六）其他未列明行业。从业人员300人以下的为中小微型企业。其中，从业人员100人及以上的为中型企业；从业人员10人及以上的为小型企业；从业人员10人以下的为微型企业。</w:t>
      </w:r>
    </w:p>
    <w:p w14:paraId="4ACB5C80">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五、企业类型的划分以统计部门的统计数据为依据。</w:t>
      </w:r>
    </w:p>
    <w:p w14:paraId="59A04F63">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六、本规定适用于在中华人民共和国境内依法设立的各类所有制和各种组织形式的企业。个体工商户和本规定以外的行业，参照本规定进行划型。</w:t>
      </w:r>
    </w:p>
    <w:p w14:paraId="1014913E">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5A2FBB21">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八、本规定由工业和信息化部、国家统计局会同有关部门根据《国民经济行业分类》修订情况和企业发展变化情况适时修订。</w:t>
      </w:r>
    </w:p>
    <w:p w14:paraId="50FCEF61">
      <w:pPr>
        <w:pStyle w:val="11"/>
        <w:keepNext w:val="0"/>
        <w:keepLines w:val="0"/>
        <w:pageBreakBefore w:val="0"/>
        <w:widowControl w:val="0"/>
        <w:tabs>
          <w:tab w:val="left" w:pos="1146"/>
        </w:tabs>
        <w:kinsoku/>
        <w:wordWrap/>
        <w:overflowPunct/>
        <w:topLinePunct w:val="0"/>
        <w:autoSpaceDE/>
        <w:autoSpaceDN/>
        <w:bidi w:val="0"/>
        <w:adjustRightInd/>
        <w:snapToGrid/>
        <w:spacing w:line="360" w:lineRule="auto"/>
        <w:ind w:left="0" w:leftChars="0" w:firstLine="480" w:firstLineChars="200"/>
        <w:jc w:val="left"/>
        <w:textAlignment w:val="auto"/>
        <w:rPr>
          <w:color w:val="auto"/>
          <w:sz w:val="24"/>
          <w:highlight w:val="none"/>
        </w:rPr>
      </w:pPr>
      <w:r>
        <w:rPr>
          <w:rFonts w:hint="eastAsia" w:ascii="宋体" w:hAnsi="宋体" w:eastAsia="宋体" w:cs="宋体"/>
          <w:color w:val="auto"/>
          <w:sz w:val="24"/>
          <w:highlight w:val="none"/>
        </w:rPr>
        <w:t>九、本规定由工业和信息化部、国家统计局会同有关部门负责解释。</w:t>
      </w:r>
    </w:p>
    <w:p w14:paraId="13B91796">
      <w:pPr>
        <w:pStyle w:val="11"/>
        <w:tabs>
          <w:tab w:val="left" w:pos="1146"/>
        </w:tabs>
        <w:spacing w:line="360" w:lineRule="auto"/>
        <w:ind w:left="571" w:leftChars="272" w:firstLine="2" w:firstLineChars="0"/>
        <w:jc w:val="center"/>
        <w:rPr>
          <w:rFonts w:ascii="宋体" w:hAnsi="宋体"/>
          <w:b/>
          <w:sz w:val="30"/>
          <w:szCs w:val="30"/>
          <w:highlight w:val="none"/>
        </w:rPr>
      </w:pPr>
      <w:r>
        <w:rPr>
          <w:rFonts w:ascii="宋体" w:hAnsi="宋体"/>
          <w:highlight w:val="none"/>
        </w:rPr>
        <w:br w:type="page"/>
      </w:r>
      <w:bookmarkEnd w:id="38"/>
      <w:r>
        <w:rPr>
          <w:rFonts w:hint="eastAsia" w:ascii="宋体" w:hAnsi="宋体"/>
          <w:b/>
          <w:sz w:val="30"/>
          <w:szCs w:val="30"/>
          <w:highlight w:val="none"/>
        </w:rPr>
        <w:t>供应商须知正文</w:t>
      </w:r>
    </w:p>
    <w:p w14:paraId="422CCE15">
      <w:pPr>
        <w:pStyle w:val="3"/>
        <w:pageBreakBefore w:val="0"/>
        <w:kinsoku/>
        <w:wordWrap/>
        <w:overflowPunct/>
        <w:topLinePunct w:val="0"/>
        <w:bidi w:val="0"/>
        <w:spacing w:before="120" w:after="120" w:line="500" w:lineRule="exact"/>
        <w:ind w:firstLine="516" w:firstLineChars="214"/>
        <w:textAlignment w:val="auto"/>
        <w:rPr>
          <w:rFonts w:ascii="宋体" w:hAnsi="宋体" w:eastAsia="宋体"/>
          <w:sz w:val="24"/>
          <w:szCs w:val="24"/>
          <w:highlight w:val="none"/>
        </w:rPr>
      </w:pPr>
      <w:bookmarkStart w:id="39" w:name="_Toc14861"/>
      <w:r>
        <w:rPr>
          <w:rFonts w:hint="eastAsia" w:ascii="宋体" w:hAnsi="宋体" w:eastAsia="宋体"/>
          <w:sz w:val="24"/>
          <w:szCs w:val="24"/>
          <w:highlight w:val="none"/>
        </w:rPr>
        <w:t>一、说明</w:t>
      </w:r>
      <w:bookmarkEnd w:id="39"/>
    </w:p>
    <w:p w14:paraId="5B72DF83">
      <w:pPr>
        <w:pStyle w:val="30"/>
        <w:pageBreakBefore w:val="0"/>
        <w:tabs>
          <w:tab w:val="left" w:pos="955"/>
        </w:tabs>
        <w:kinsoku/>
        <w:wordWrap/>
        <w:overflowPunct/>
        <w:topLinePunct w:val="0"/>
        <w:bidi w:val="0"/>
        <w:spacing w:after="0" w:line="500" w:lineRule="exact"/>
        <w:ind w:left="1146" w:leftChars="273" w:hanging="573" w:hangingChars="238"/>
        <w:textAlignment w:val="auto"/>
        <w:rPr>
          <w:rFonts w:ascii="宋体" w:hAnsi="宋体"/>
          <w:b/>
          <w:highlight w:val="none"/>
        </w:rPr>
      </w:pPr>
      <w:bookmarkStart w:id="40" w:name="_Toc346306730"/>
      <w:bookmarkStart w:id="41" w:name="_Toc352332851"/>
      <w:bookmarkStart w:id="42" w:name="_Toc346372877"/>
      <w:r>
        <w:rPr>
          <w:rFonts w:ascii="宋体" w:hAnsi="宋体"/>
          <w:b/>
          <w:highlight w:val="none"/>
        </w:rPr>
        <w:t xml:space="preserve">1.   </w:t>
      </w:r>
      <w:bookmarkEnd w:id="40"/>
      <w:bookmarkEnd w:id="41"/>
      <w:bookmarkEnd w:id="42"/>
      <w:r>
        <w:rPr>
          <w:rFonts w:hint="eastAsia" w:ascii="宋体" w:hAnsi="宋体"/>
          <w:b/>
          <w:highlight w:val="none"/>
        </w:rPr>
        <w:t>采购人</w:t>
      </w:r>
    </w:p>
    <w:p w14:paraId="2C7801E5">
      <w:pPr>
        <w:pageBreakBefore w:val="0"/>
        <w:kinsoku/>
        <w:wordWrap/>
        <w:overflowPunct/>
        <w:topLinePunct w:val="0"/>
        <w:autoSpaceDE w:val="0"/>
        <w:autoSpaceDN w:val="0"/>
        <w:bidi w:val="0"/>
        <w:adjustRightInd w:val="0"/>
        <w:snapToGrid w:val="0"/>
        <w:spacing w:line="500" w:lineRule="exact"/>
        <w:ind w:firstLine="600" w:firstLineChars="250"/>
        <w:jc w:val="left"/>
        <w:textAlignment w:val="auto"/>
        <w:rPr>
          <w:rFonts w:ascii="宋体" w:hAnsi="宋体" w:cs="TimesNewRomanPSMT"/>
          <w:kern w:val="0"/>
          <w:sz w:val="24"/>
          <w:highlight w:val="none"/>
        </w:rPr>
      </w:pPr>
      <w:r>
        <w:rPr>
          <w:rFonts w:hint="eastAsia" w:ascii="宋体" w:hAnsi="宋体" w:cs="TimesNewRomanPSMT"/>
          <w:kern w:val="0"/>
          <w:sz w:val="24"/>
          <w:highlight w:val="none"/>
        </w:rPr>
        <w:t>详见供应商须知前附表。</w:t>
      </w:r>
    </w:p>
    <w:p w14:paraId="1F860D10">
      <w:pPr>
        <w:pStyle w:val="30"/>
        <w:pageBreakBefore w:val="0"/>
        <w:tabs>
          <w:tab w:val="left" w:pos="955"/>
        </w:tabs>
        <w:kinsoku/>
        <w:wordWrap/>
        <w:overflowPunct/>
        <w:topLinePunct w:val="0"/>
        <w:bidi w:val="0"/>
        <w:spacing w:after="0" w:line="500" w:lineRule="exact"/>
        <w:ind w:left="1146" w:leftChars="273" w:hanging="573" w:hangingChars="238"/>
        <w:textAlignment w:val="auto"/>
        <w:rPr>
          <w:rFonts w:ascii="宋体" w:hAnsi="宋体"/>
          <w:b/>
          <w:highlight w:val="none"/>
        </w:rPr>
      </w:pPr>
      <w:bookmarkStart w:id="43" w:name="_Toc346306731"/>
      <w:bookmarkStart w:id="44" w:name="_Toc352332852"/>
      <w:bookmarkStart w:id="45" w:name="_Toc346372878"/>
      <w:r>
        <w:rPr>
          <w:rFonts w:ascii="宋体" w:hAnsi="宋体"/>
          <w:b/>
          <w:highlight w:val="none"/>
        </w:rPr>
        <w:t xml:space="preserve">2.   </w:t>
      </w:r>
      <w:bookmarkEnd w:id="43"/>
      <w:bookmarkEnd w:id="44"/>
      <w:bookmarkEnd w:id="45"/>
      <w:r>
        <w:rPr>
          <w:rFonts w:hint="eastAsia" w:ascii="宋体" w:hAnsi="宋体"/>
          <w:b/>
          <w:highlight w:val="none"/>
        </w:rPr>
        <w:t>代理机构</w:t>
      </w:r>
    </w:p>
    <w:p w14:paraId="02B3D797">
      <w:pPr>
        <w:pageBreakBefore w:val="0"/>
        <w:kinsoku/>
        <w:wordWrap/>
        <w:overflowPunct/>
        <w:topLinePunct w:val="0"/>
        <w:autoSpaceDE w:val="0"/>
        <w:autoSpaceDN w:val="0"/>
        <w:bidi w:val="0"/>
        <w:adjustRightInd w:val="0"/>
        <w:snapToGrid w:val="0"/>
        <w:spacing w:line="500" w:lineRule="exact"/>
        <w:ind w:firstLine="600" w:firstLineChars="250"/>
        <w:jc w:val="left"/>
        <w:textAlignment w:val="auto"/>
        <w:rPr>
          <w:rFonts w:ascii="宋体" w:hAnsi="宋体" w:cs="TimesNewRomanPSMT"/>
          <w:kern w:val="0"/>
          <w:sz w:val="24"/>
          <w:highlight w:val="none"/>
        </w:rPr>
      </w:pPr>
      <w:bookmarkStart w:id="46" w:name="_Toc346372879"/>
      <w:bookmarkStart w:id="47" w:name="_Toc346306732"/>
      <w:bookmarkStart w:id="48" w:name="_Toc352332853"/>
      <w:r>
        <w:rPr>
          <w:rFonts w:hint="eastAsia" w:ascii="宋体" w:hAnsi="宋体" w:cs="TimesNewRomanPSMT"/>
          <w:kern w:val="0"/>
          <w:sz w:val="24"/>
          <w:highlight w:val="none"/>
        </w:rPr>
        <w:t>详见供应商须知前附表。</w:t>
      </w:r>
    </w:p>
    <w:p w14:paraId="7A91788A">
      <w:pPr>
        <w:pStyle w:val="30"/>
        <w:pageBreakBefore w:val="0"/>
        <w:tabs>
          <w:tab w:val="left" w:pos="955"/>
        </w:tabs>
        <w:kinsoku/>
        <w:wordWrap/>
        <w:overflowPunct/>
        <w:topLinePunct w:val="0"/>
        <w:bidi w:val="0"/>
        <w:spacing w:after="0" w:line="500" w:lineRule="exact"/>
        <w:ind w:left="1146" w:leftChars="273" w:hanging="573" w:hangingChars="238"/>
        <w:textAlignment w:val="auto"/>
        <w:rPr>
          <w:rFonts w:ascii="宋体" w:hAnsi="宋体"/>
          <w:b/>
          <w:highlight w:val="none"/>
        </w:rPr>
      </w:pPr>
      <w:r>
        <w:rPr>
          <w:rFonts w:ascii="宋体" w:hAnsi="宋体"/>
          <w:b/>
          <w:highlight w:val="none"/>
        </w:rPr>
        <w:t xml:space="preserve">3.   </w:t>
      </w:r>
      <w:r>
        <w:rPr>
          <w:rFonts w:hint="eastAsia" w:ascii="宋体" w:hAnsi="宋体"/>
          <w:b/>
          <w:highlight w:val="none"/>
        </w:rPr>
        <w:t>合格供应商</w:t>
      </w:r>
      <w:bookmarkEnd w:id="46"/>
      <w:bookmarkEnd w:id="47"/>
      <w:bookmarkEnd w:id="48"/>
    </w:p>
    <w:p w14:paraId="6DD8E953">
      <w:pPr>
        <w:pageBreakBefore w:val="0"/>
        <w:kinsoku/>
        <w:wordWrap/>
        <w:overflowPunct/>
        <w:topLinePunct w:val="0"/>
        <w:autoSpaceDE w:val="0"/>
        <w:autoSpaceDN w:val="0"/>
        <w:bidi w:val="0"/>
        <w:adjustRightInd w:val="0"/>
        <w:snapToGrid w:val="0"/>
        <w:spacing w:line="500" w:lineRule="exact"/>
        <w:ind w:firstLine="600" w:firstLineChars="250"/>
        <w:jc w:val="left"/>
        <w:textAlignment w:val="auto"/>
        <w:rPr>
          <w:rFonts w:ascii="宋体" w:hAnsi="宋体" w:cs="TimesNewRomanPSMT"/>
          <w:kern w:val="0"/>
          <w:sz w:val="24"/>
          <w:highlight w:val="none"/>
        </w:rPr>
      </w:pPr>
      <w:r>
        <w:rPr>
          <w:rFonts w:hint="eastAsia" w:ascii="宋体" w:hAnsi="宋体" w:cs="TimesNewRomanPSMT"/>
          <w:kern w:val="0"/>
          <w:sz w:val="24"/>
          <w:highlight w:val="none"/>
        </w:rPr>
        <w:t>详见供应商须知前附表。</w:t>
      </w:r>
    </w:p>
    <w:p w14:paraId="0BA25B06">
      <w:pPr>
        <w:pStyle w:val="30"/>
        <w:pageBreakBefore w:val="0"/>
        <w:tabs>
          <w:tab w:val="left" w:pos="955"/>
        </w:tabs>
        <w:kinsoku/>
        <w:wordWrap/>
        <w:overflowPunct/>
        <w:topLinePunct w:val="0"/>
        <w:bidi w:val="0"/>
        <w:spacing w:after="0" w:line="500" w:lineRule="exact"/>
        <w:ind w:left="1146" w:leftChars="273" w:hanging="573" w:hangingChars="238"/>
        <w:textAlignment w:val="auto"/>
        <w:rPr>
          <w:rFonts w:ascii="宋体" w:hAnsi="宋体"/>
          <w:b/>
          <w:highlight w:val="none"/>
        </w:rPr>
      </w:pPr>
      <w:bookmarkStart w:id="49" w:name="_Toc346372880"/>
      <w:bookmarkStart w:id="50" w:name="_Toc346306733"/>
      <w:bookmarkStart w:id="51" w:name="_Toc352332854"/>
      <w:r>
        <w:rPr>
          <w:rFonts w:ascii="宋体" w:hAnsi="宋体"/>
          <w:b/>
          <w:highlight w:val="none"/>
        </w:rPr>
        <w:t xml:space="preserve">4.   </w:t>
      </w:r>
      <w:r>
        <w:rPr>
          <w:rFonts w:hint="eastAsia" w:ascii="宋体" w:hAnsi="宋体"/>
          <w:b/>
          <w:highlight w:val="none"/>
        </w:rPr>
        <w:t>投标费用</w:t>
      </w:r>
      <w:bookmarkEnd w:id="49"/>
      <w:bookmarkEnd w:id="50"/>
      <w:bookmarkEnd w:id="51"/>
    </w:p>
    <w:p w14:paraId="0A8CA70E">
      <w:pPr>
        <w:pageBreakBefore w:val="0"/>
        <w:kinsoku/>
        <w:wordWrap/>
        <w:overflowPunct/>
        <w:topLinePunct w:val="0"/>
        <w:autoSpaceDE w:val="0"/>
        <w:autoSpaceDN w:val="0"/>
        <w:bidi w:val="0"/>
        <w:adjustRightInd w:val="0"/>
        <w:snapToGrid w:val="0"/>
        <w:spacing w:line="500" w:lineRule="exact"/>
        <w:ind w:firstLine="600" w:firstLineChars="250"/>
        <w:jc w:val="left"/>
        <w:textAlignment w:val="auto"/>
        <w:rPr>
          <w:rFonts w:ascii="宋体" w:hAnsi="宋体" w:cs="TimesNewRomanPSMT"/>
          <w:kern w:val="0"/>
          <w:sz w:val="24"/>
          <w:highlight w:val="none"/>
        </w:rPr>
      </w:pPr>
      <w:r>
        <w:rPr>
          <w:rFonts w:hint="eastAsia" w:ascii="宋体" w:hAnsi="宋体" w:cs="TimesNewRomanPSMT"/>
          <w:kern w:val="0"/>
          <w:sz w:val="24"/>
          <w:highlight w:val="none"/>
        </w:rPr>
        <w:t>无论投标过程中的方法和结果如何，供应商自行承担所有与参加投标有关费用。</w:t>
      </w:r>
    </w:p>
    <w:p w14:paraId="6432E0FF">
      <w:pPr>
        <w:pStyle w:val="3"/>
        <w:pageBreakBefore w:val="0"/>
        <w:kinsoku/>
        <w:wordWrap/>
        <w:overflowPunct/>
        <w:topLinePunct w:val="0"/>
        <w:bidi w:val="0"/>
        <w:spacing w:before="120" w:after="120" w:line="500" w:lineRule="exact"/>
        <w:ind w:firstLine="516" w:firstLineChars="214"/>
        <w:textAlignment w:val="auto"/>
        <w:rPr>
          <w:rFonts w:ascii="宋体" w:hAnsi="宋体" w:eastAsia="宋体"/>
          <w:sz w:val="24"/>
          <w:szCs w:val="24"/>
          <w:highlight w:val="none"/>
        </w:rPr>
      </w:pPr>
      <w:bookmarkStart w:id="52" w:name="_Toc24645"/>
      <w:r>
        <w:rPr>
          <w:rFonts w:hint="eastAsia" w:ascii="宋体" w:hAnsi="宋体" w:eastAsia="宋体"/>
          <w:sz w:val="24"/>
          <w:szCs w:val="24"/>
          <w:highlight w:val="none"/>
        </w:rPr>
        <w:t>二、招标文件</w:t>
      </w:r>
      <w:bookmarkEnd w:id="52"/>
    </w:p>
    <w:p w14:paraId="220EAE2C">
      <w:pPr>
        <w:pStyle w:val="30"/>
        <w:pageBreakBefore w:val="0"/>
        <w:tabs>
          <w:tab w:val="left" w:pos="955"/>
        </w:tabs>
        <w:kinsoku/>
        <w:wordWrap/>
        <w:overflowPunct/>
        <w:topLinePunct w:val="0"/>
        <w:bidi w:val="0"/>
        <w:spacing w:after="0" w:line="500" w:lineRule="exact"/>
        <w:ind w:left="1146" w:leftChars="273" w:hanging="573" w:hangingChars="238"/>
        <w:textAlignment w:val="auto"/>
        <w:rPr>
          <w:rFonts w:ascii="宋体" w:hAnsi="宋体"/>
          <w:b/>
          <w:highlight w:val="none"/>
        </w:rPr>
      </w:pPr>
      <w:bookmarkStart w:id="53" w:name="_Toc352332856"/>
      <w:bookmarkStart w:id="54" w:name="_Toc346306735"/>
      <w:bookmarkStart w:id="55" w:name="_Toc346372882"/>
      <w:r>
        <w:rPr>
          <w:rFonts w:ascii="宋体" w:hAnsi="宋体"/>
          <w:b/>
          <w:highlight w:val="none"/>
        </w:rPr>
        <w:t xml:space="preserve">5.   </w:t>
      </w:r>
      <w:r>
        <w:rPr>
          <w:rFonts w:hint="eastAsia" w:ascii="宋体" w:hAnsi="宋体"/>
          <w:b/>
          <w:highlight w:val="none"/>
        </w:rPr>
        <w:t>招标文件组成</w:t>
      </w:r>
      <w:bookmarkEnd w:id="53"/>
      <w:bookmarkEnd w:id="54"/>
      <w:bookmarkEnd w:id="55"/>
    </w:p>
    <w:p w14:paraId="2461F453">
      <w:pPr>
        <w:pageBreakBefore w:val="0"/>
        <w:kinsoku/>
        <w:wordWrap/>
        <w:overflowPunct/>
        <w:topLinePunct w:val="0"/>
        <w:autoSpaceDE w:val="0"/>
        <w:autoSpaceDN w:val="0"/>
        <w:bidi w:val="0"/>
        <w:adjustRightInd w:val="0"/>
        <w:snapToGrid w:val="0"/>
        <w:spacing w:line="500" w:lineRule="exact"/>
        <w:ind w:firstLine="600" w:firstLineChars="250"/>
        <w:jc w:val="left"/>
        <w:textAlignment w:val="auto"/>
        <w:rPr>
          <w:rFonts w:ascii="宋体" w:hAnsi="宋体" w:cs="TimesNewRomanPSMT"/>
          <w:kern w:val="0"/>
          <w:sz w:val="24"/>
          <w:highlight w:val="none"/>
        </w:rPr>
      </w:pPr>
      <w:r>
        <w:rPr>
          <w:rFonts w:hint="eastAsia" w:ascii="宋体" w:hAnsi="宋体" w:cs="TimesNewRomanPSMT"/>
          <w:kern w:val="0"/>
          <w:sz w:val="24"/>
          <w:highlight w:val="none"/>
        </w:rPr>
        <w:t>本招标文件由招标文件目录所列内容及按本招标文件要求发出的澄清、答疑和修改组成。</w:t>
      </w:r>
    </w:p>
    <w:p w14:paraId="775DE8ED">
      <w:pPr>
        <w:pStyle w:val="30"/>
        <w:pageBreakBefore w:val="0"/>
        <w:tabs>
          <w:tab w:val="left" w:pos="955"/>
        </w:tabs>
        <w:kinsoku/>
        <w:wordWrap/>
        <w:overflowPunct/>
        <w:topLinePunct w:val="0"/>
        <w:bidi w:val="0"/>
        <w:spacing w:after="0" w:line="500" w:lineRule="exact"/>
        <w:ind w:left="1146" w:leftChars="273" w:hanging="573" w:hangingChars="238"/>
        <w:textAlignment w:val="auto"/>
        <w:rPr>
          <w:rFonts w:ascii="宋体" w:hAnsi="宋体"/>
          <w:b/>
          <w:highlight w:val="none"/>
        </w:rPr>
      </w:pPr>
      <w:bookmarkStart w:id="56" w:name="_Toc352332857"/>
      <w:bookmarkStart w:id="57" w:name="_Toc346372883"/>
      <w:bookmarkStart w:id="58" w:name="_Toc346306736"/>
      <w:r>
        <w:rPr>
          <w:rFonts w:ascii="宋体" w:hAnsi="宋体"/>
          <w:b/>
          <w:highlight w:val="none"/>
        </w:rPr>
        <w:t xml:space="preserve">6.   </w:t>
      </w:r>
      <w:r>
        <w:rPr>
          <w:rFonts w:hint="eastAsia" w:ascii="宋体" w:hAnsi="宋体"/>
          <w:b/>
          <w:highlight w:val="none"/>
        </w:rPr>
        <w:t>招标文件答疑</w:t>
      </w:r>
      <w:bookmarkEnd w:id="56"/>
      <w:bookmarkEnd w:id="57"/>
      <w:bookmarkEnd w:id="58"/>
    </w:p>
    <w:p w14:paraId="266B0568">
      <w:pPr>
        <w:pageBreakBefore w:val="0"/>
        <w:kinsoku/>
        <w:wordWrap/>
        <w:overflowPunct/>
        <w:topLinePunct w:val="0"/>
        <w:autoSpaceDE w:val="0"/>
        <w:autoSpaceDN w:val="0"/>
        <w:bidi w:val="0"/>
        <w:adjustRightInd w:val="0"/>
        <w:snapToGrid w:val="0"/>
        <w:spacing w:line="500" w:lineRule="exact"/>
        <w:ind w:firstLine="600" w:firstLineChars="250"/>
        <w:jc w:val="left"/>
        <w:textAlignment w:val="auto"/>
        <w:rPr>
          <w:rFonts w:ascii="宋体" w:hAnsi="宋体" w:cs="TimesNewRomanPSMT"/>
          <w:kern w:val="0"/>
          <w:sz w:val="24"/>
          <w:highlight w:val="none"/>
        </w:rPr>
      </w:pPr>
      <w:r>
        <w:rPr>
          <w:rFonts w:hint="eastAsia" w:ascii="宋体" w:hAnsi="宋体" w:cs="TimesNewRomanPSMT"/>
          <w:kern w:val="0"/>
          <w:sz w:val="24"/>
          <w:highlight w:val="none"/>
        </w:rPr>
        <w:t>供应商对招标文件如有疑问，应于前附表所述时间以前以书面形式通知到代理机构。在前附表所述时间之前，代理机构将视情况以书面形式予以答复，如有必要可将答复内容包括原提出的问题（但不表明问题的来源），分发给所有取得同一招标文件的供应商。供应商须在收到代理机构的书面答复后</w:t>
      </w:r>
      <w:r>
        <w:rPr>
          <w:rFonts w:ascii="宋体" w:hAnsi="宋体" w:cs="TimesNewRomanPSMT"/>
          <w:kern w:val="0"/>
          <w:sz w:val="24"/>
          <w:highlight w:val="none"/>
        </w:rPr>
        <w:t>24</w:t>
      </w:r>
      <w:r>
        <w:rPr>
          <w:rFonts w:hint="eastAsia" w:ascii="宋体" w:hAnsi="宋体" w:cs="TimesNewRomanPSMT"/>
          <w:kern w:val="0"/>
          <w:sz w:val="24"/>
          <w:highlight w:val="none"/>
        </w:rPr>
        <w:t>小时内书面回执。</w:t>
      </w:r>
    </w:p>
    <w:p w14:paraId="62656993">
      <w:pPr>
        <w:pStyle w:val="30"/>
        <w:pageBreakBefore w:val="0"/>
        <w:tabs>
          <w:tab w:val="left" w:pos="955"/>
        </w:tabs>
        <w:kinsoku/>
        <w:wordWrap/>
        <w:overflowPunct/>
        <w:topLinePunct w:val="0"/>
        <w:bidi w:val="0"/>
        <w:spacing w:after="0" w:line="500" w:lineRule="exact"/>
        <w:ind w:left="1146" w:leftChars="273" w:hanging="573" w:hangingChars="238"/>
        <w:textAlignment w:val="auto"/>
        <w:rPr>
          <w:rFonts w:ascii="宋体" w:hAnsi="宋体"/>
          <w:b/>
          <w:highlight w:val="none"/>
        </w:rPr>
      </w:pPr>
      <w:bookmarkStart w:id="59" w:name="_Toc346306737"/>
      <w:bookmarkStart w:id="60" w:name="_Toc352332858"/>
      <w:bookmarkStart w:id="61" w:name="_Toc346372884"/>
      <w:r>
        <w:rPr>
          <w:rFonts w:ascii="宋体" w:hAnsi="宋体"/>
          <w:b/>
          <w:highlight w:val="none"/>
        </w:rPr>
        <w:t xml:space="preserve">7.   </w:t>
      </w:r>
      <w:r>
        <w:rPr>
          <w:rFonts w:hint="eastAsia" w:ascii="宋体" w:hAnsi="宋体"/>
          <w:b/>
          <w:highlight w:val="none"/>
        </w:rPr>
        <w:t>招标文件澄清和修改</w:t>
      </w:r>
      <w:bookmarkEnd w:id="59"/>
      <w:bookmarkEnd w:id="60"/>
      <w:bookmarkEnd w:id="61"/>
    </w:p>
    <w:p w14:paraId="3E388FCF">
      <w:pPr>
        <w:pageBreakBefore w:val="0"/>
        <w:kinsoku/>
        <w:wordWrap/>
        <w:overflowPunct/>
        <w:topLinePunct w:val="0"/>
        <w:autoSpaceDE w:val="0"/>
        <w:autoSpaceDN w:val="0"/>
        <w:bidi w:val="0"/>
        <w:adjustRightInd w:val="0"/>
        <w:snapToGrid w:val="0"/>
        <w:spacing w:line="500" w:lineRule="exact"/>
        <w:ind w:firstLine="600" w:firstLineChars="250"/>
        <w:jc w:val="left"/>
        <w:textAlignment w:val="auto"/>
        <w:rPr>
          <w:rFonts w:hint="eastAsia" w:ascii="宋体" w:hAnsi="宋体" w:cs="TimesNewRomanPSMT"/>
          <w:kern w:val="0"/>
          <w:sz w:val="24"/>
          <w:highlight w:val="none"/>
        </w:rPr>
      </w:pPr>
      <w:r>
        <w:rPr>
          <w:rFonts w:ascii="宋体" w:hAnsi="宋体" w:cs="TimesNewRomanPSMT"/>
          <w:kern w:val="0"/>
          <w:sz w:val="24"/>
          <w:highlight w:val="none"/>
        </w:rPr>
        <w:t xml:space="preserve">7.1  </w:t>
      </w:r>
      <w:r>
        <w:rPr>
          <w:rFonts w:hint="eastAsia" w:ascii="宋体" w:hAnsi="宋体" w:cs="TimesNewRomanPSMT"/>
          <w:kern w:val="0"/>
          <w:sz w:val="24"/>
          <w:highlight w:val="none"/>
        </w:rPr>
        <w:t>采购人或者采购代理机构主动对招标文件作出澄清或修改的内容，将在原公告发布媒体上发布澄清更正公告。澄清或者修改的内容可能影响投标文件编制的，采购代理机构将在投标截止时间至少15日前，以书面或公告等形式通知所有获取招标文件的潜在供应商，并对其具有约束力。该澄清或者修改的内容为招标文件的组成部分。</w:t>
      </w:r>
    </w:p>
    <w:p w14:paraId="6678CCE9">
      <w:pPr>
        <w:pageBreakBefore w:val="0"/>
        <w:kinsoku/>
        <w:wordWrap/>
        <w:overflowPunct/>
        <w:topLinePunct w:val="0"/>
        <w:autoSpaceDE w:val="0"/>
        <w:autoSpaceDN w:val="0"/>
        <w:bidi w:val="0"/>
        <w:adjustRightInd w:val="0"/>
        <w:snapToGrid w:val="0"/>
        <w:spacing w:line="500" w:lineRule="exact"/>
        <w:ind w:firstLine="600" w:firstLineChars="250"/>
        <w:jc w:val="left"/>
        <w:textAlignment w:val="auto"/>
        <w:rPr>
          <w:rFonts w:ascii="宋体" w:hAnsi="宋体" w:cs="TimesNewRomanPSMT"/>
          <w:kern w:val="0"/>
          <w:sz w:val="24"/>
          <w:highlight w:val="none"/>
        </w:rPr>
      </w:pPr>
      <w:r>
        <w:rPr>
          <w:rFonts w:ascii="宋体" w:hAnsi="宋体" w:cs="TimesNewRomanPSMT"/>
          <w:kern w:val="0"/>
          <w:sz w:val="24"/>
          <w:highlight w:val="none"/>
        </w:rPr>
        <w:t>7.</w:t>
      </w:r>
      <w:r>
        <w:rPr>
          <w:rFonts w:hint="eastAsia" w:ascii="宋体" w:hAnsi="宋体" w:cs="TimesNewRomanPSMT"/>
          <w:kern w:val="0"/>
          <w:sz w:val="24"/>
          <w:highlight w:val="none"/>
        </w:rPr>
        <w:t>2</w:t>
      </w:r>
      <w:r>
        <w:rPr>
          <w:rFonts w:ascii="宋体" w:hAnsi="宋体" w:cs="TimesNewRomanPSMT"/>
          <w:kern w:val="0"/>
          <w:sz w:val="24"/>
          <w:highlight w:val="none"/>
        </w:rPr>
        <w:t xml:space="preserve">  </w:t>
      </w:r>
      <w:r>
        <w:rPr>
          <w:rFonts w:hint="eastAsia" w:ascii="宋体" w:hAnsi="宋体" w:cs="TimesNewRomanPSMT"/>
          <w:kern w:val="0"/>
          <w:sz w:val="24"/>
          <w:highlight w:val="none"/>
        </w:rPr>
        <w:t>供应商在收到上述通知后，应以书面形式向采购人或采购代理机构确认。供应商未回复的，视同已知晓澄清或者修改的内容。</w:t>
      </w:r>
    </w:p>
    <w:p w14:paraId="511EC279">
      <w:pPr>
        <w:pStyle w:val="3"/>
        <w:pageBreakBefore w:val="0"/>
        <w:kinsoku/>
        <w:wordWrap/>
        <w:overflowPunct/>
        <w:topLinePunct w:val="0"/>
        <w:bidi w:val="0"/>
        <w:spacing w:before="120" w:after="120" w:line="500" w:lineRule="exact"/>
        <w:ind w:firstLine="516" w:firstLineChars="214"/>
        <w:textAlignment w:val="auto"/>
        <w:rPr>
          <w:rFonts w:ascii="宋体" w:hAnsi="宋体" w:eastAsia="宋体"/>
          <w:sz w:val="24"/>
          <w:szCs w:val="24"/>
          <w:highlight w:val="none"/>
        </w:rPr>
      </w:pPr>
      <w:bookmarkStart w:id="62" w:name="_Toc29399"/>
      <w:r>
        <w:rPr>
          <w:rFonts w:hint="eastAsia" w:ascii="宋体" w:hAnsi="宋体" w:eastAsia="宋体"/>
          <w:sz w:val="24"/>
          <w:szCs w:val="24"/>
          <w:highlight w:val="none"/>
        </w:rPr>
        <w:t>三、投标文件编写</w:t>
      </w:r>
      <w:bookmarkEnd w:id="62"/>
    </w:p>
    <w:p w14:paraId="78F94A4D">
      <w:pPr>
        <w:pStyle w:val="30"/>
        <w:pageBreakBefore w:val="0"/>
        <w:tabs>
          <w:tab w:val="left" w:pos="955"/>
        </w:tabs>
        <w:kinsoku/>
        <w:wordWrap/>
        <w:overflowPunct/>
        <w:topLinePunct w:val="0"/>
        <w:bidi w:val="0"/>
        <w:spacing w:after="0" w:line="500" w:lineRule="exact"/>
        <w:ind w:left="1146" w:leftChars="273" w:hanging="573" w:hangingChars="238"/>
        <w:textAlignment w:val="auto"/>
        <w:rPr>
          <w:rFonts w:ascii="宋体" w:hAnsi="宋体"/>
          <w:b/>
          <w:highlight w:val="none"/>
        </w:rPr>
      </w:pPr>
      <w:bookmarkStart w:id="63" w:name="_Toc352332860"/>
      <w:bookmarkStart w:id="64" w:name="_Toc346372886"/>
      <w:bookmarkStart w:id="65" w:name="_Toc346306739"/>
      <w:r>
        <w:rPr>
          <w:rFonts w:ascii="宋体" w:hAnsi="宋体"/>
          <w:b/>
          <w:highlight w:val="none"/>
        </w:rPr>
        <w:t xml:space="preserve">8.   </w:t>
      </w:r>
      <w:r>
        <w:rPr>
          <w:rFonts w:hint="eastAsia" w:ascii="宋体" w:hAnsi="宋体"/>
          <w:b/>
          <w:highlight w:val="none"/>
        </w:rPr>
        <w:t>投标语言及计量单位</w:t>
      </w:r>
      <w:bookmarkEnd w:id="63"/>
      <w:bookmarkEnd w:id="64"/>
      <w:bookmarkEnd w:id="65"/>
    </w:p>
    <w:p w14:paraId="3A586BC4">
      <w:pPr>
        <w:pageBreakBefore w:val="0"/>
        <w:kinsoku/>
        <w:wordWrap/>
        <w:overflowPunct/>
        <w:topLinePunct w:val="0"/>
        <w:autoSpaceDE w:val="0"/>
        <w:autoSpaceDN w:val="0"/>
        <w:bidi w:val="0"/>
        <w:adjustRightInd w:val="0"/>
        <w:snapToGrid w:val="0"/>
        <w:spacing w:line="500" w:lineRule="exact"/>
        <w:ind w:firstLine="600" w:firstLineChars="250"/>
        <w:jc w:val="left"/>
        <w:textAlignment w:val="auto"/>
        <w:rPr>
          <w:rFonts w:ascii="宋体" w:hAnsi="宋体" w:cs="TimesNewRomanPSMT"/>
          <w:kern w:val="0"/>
          <w:sz w:val="24"/>
          <w:highlight w:val="none"/>
        </w:rPr>
      </w:pPr>
      <w:r>
        <w:rPr>
          <w:rFonts w:ascii="宋体" w:hAnsi="宋体" w:cs="TimesNewRomanPSMT"/>
          <w:kern w:val="0"/>
          <w:sz w:val="24"/>
          <w:highlight w:val="none"/>
        </w:rPr>
        <w:t xml:space="preserve">8.1  </w:t>
      </w:r>
      <w:r>
        <w:rPr>
          <w:rFonts w:hint="eastAsia" w:ascii="宋体" w:hAnsi="宋体" w:cs="TimesNewRomanPSMT"/>
          <w:kern w:val="0"/>
          <w:sz w:val="24"/>
          <w:highlight w:val="none"/>
        </w:rPr>
        <w:t>供应商和代理机构就招投标交换的文件和来往信函均使用中文。</w:t>
      </w:r>
    </w:p>
    <w:p w14:paraId="40FB2292">
      <w:pPr>
        <w:pageBreakBefore w:val="0"/>
        <w:kinsoku/>
        <w:wordWrap/>
        <w:overflowPunct/>
        <w:topLinePunct w:val="0"/>
        <w:autoSpaceDE w:val="0"/>
        <w:autoSpaceDN w:val="0"/>
        <w:bidi w:val="0"/>
        <w:adjustRightInd w:val="0"/>
        <w:snapToGrid w:val="0"/>
        <w:spacing w:line="500" w:lineRule="exact"/>
        <w:ind w:firstLine="600" w:firstLineChars="250"/>
        <w:jc w:val="left"/>
        <w:textAlignment w:val="auto"/>
        <w:rPr>
          <w:rFonts w:ascii="宋体" w:hAnsi="宋体" w:cs="TimesNewRomanPSMT"/>
          <w:kern w:val="0"/>
          <w:sz w:val="24"/>
          <w:highlight w:val="none"/>
        </w:rPr>
      </w:pPr>
      <w:r>
        <w:rPr>
          <w:rFonts w:ascii="宋体" w:hAnsi="宋体" w:cs="TimesNewRomanPSMT"/>
          <w:kern w:val="0"/>
          <w:sz w:val="24"/>
          <w:highlight w:val="none"/>
        </w:rPr>
        <w:t xml:space="preserve">8.2  </w:t>
      </w:r>
      <w:r>
        <w:rPr>
          <w:rFonts w:hint="eastAsia" w:ascii="宋体" w:hAnsi="宋体" w:cs="TimesNewRomanPSMT"/>
          <w:kern w:val="0"/>
          <w:sz w:val="24"/>
          <w:highlight w:val="none"/>
        </w:rPr>
        <w:t>除招标文件的技术要求中另有规定外，投标文件中所使用的计量单位应使用中华人民共和国法定计量单位。</w:t>
      </w:r>
    </w:p>
    <w:p w14:paraId="709E9DF7">
      <w:pPr>
        <w:pageBreakBefore w:val="0"/>
        <w:kinsoku/>
        <w:wordWrap/>
        <w:overflowPunct/>
        <w:topLinePunct w:val="0"/>
        <w:autoSpaceDE w:val="0"/>
        <w:autoSpaceDN w:val="0"/>
        <w:bidi w:val="0"/>
        <w:adjustRightInd w:val="0"/>
        <w:snapToGrid w:val="0"/>
        <w:spacing w:line="500" w:lineRule="exact"/>
        <w:ind w:firstLine="600" w:firstLineChars="250"/>
        <w:jc w:val="left"/>
        <w:textAlignment w:val="auto"/>
        <w:rPr>
          <w:rFonts w:ascii="宋体" w:hAnsi="宋体" w:cs="TimesNewRomanPSMT"/>
          <w:kern w:val="0"/>
          <w:sz w:val="24"/>
          <w:highlight w:val="none"/>
        </w:rPr>
      </w:pPr>
      <w:r>
        <w:rPr>
          <w:rFonts w:hint="eastAsia" w:ascii="宋体" w:hAnsi="宋体" w:cs="TimesNewRomanPSMT"/>
          <w:kern w:val="0"/>
          <w:sz w:val="24"/>
          <w:highlight w:val="none"/>
        </w:rPr>
        <w:t>8.3 供应商一旦决定放弃本项目的竞争，应及时通知采购代理机构。报名后无正当理由不参与本投标项目且不通知采购人或采购代理机构的,</w:t>
      </w:r>
      <w:r>
        <w:rPr>
          <w:rFonts w:hint="eastAsia" w:ascii="宋体" w:hAnsi="宋体"/>
          <w:highlight w:val="none"/>
        </w:rPr>
        <w:t xml:space="preserve"> </w:t>
      </w:r>
      <w:r>
        <w:rPr>
          <w:rFonts w:hint="eastAsia" w:ascii="宋体" w:hAnsi="宋体" w:cs="TimesNewRomanPSMT"/>
          <w:kern w:val="0"/>
          <w:sz w:val="24"/>
          <w:highlight w:val="none"/>
        </w:rPr>
        <w:t>采购代理机构将通过山东省政府采购信息公开平台如实记录。</w:t>
      </w:r>
    </w:p>
    <w:p w14:paraId="56FBE8C6">
      <w:pPr>
        <w:pStyle w:val="30"/>
        <w:pageBreakBefore w:val="0"/>
        <w:tabs>
          <w:tab w:val="left" w:pos="955"/>
        </w:tabs>
        <w:kinsoku/>
        <w:wordWrap/>
        <w:overflowPunct/>
        <w:topLinePunct w:val="0"/>
        <w:bidi w:val="0"/>
        <w:spacing w:after="0" w:line="500" w:lineRule="exact"/>
        <w:ind w:left="1146" w:leftChars="273" w:hanging="573" w:hangingChars="238"/>
        <w:textAlignment w:val="auto"/>
        <w:rPr>
          <w:rFonts w:ascii="宋体" w:hAnsi="宋体"/>
          <w:b/>
          <w:highlight w:val="none"/>
        </w:rPr>
      </w:pPr>
      <w:bookmarkStart w:id="66" w:name="_Toc346372887"/>
      <w:bookmarkStart w:id="67" w:name="_Toc346306740"/>
      <w:bookmarkStart w:id="68" w:name="_Toc352332861"/>
      <w:r>
        <w:rPr>
          <w:rFonts w:ascii="宋体" w:hAnsi="宋体"/>
          <w:b/>
          <w:highlight w:val="none"/>
        </w:rPr>
        <w:t xml:space="preserve">9.   </w:t>
      </w:r>
      <w:r>
        <w:rPr>
          <w:rFonts w:hint="eastAsia" w:ascii="宋体" w:hAnsi="宋体"/>
          <w:b/>
          <w:highlight w:val="none"/>
        </w:rPr>
        <w:t>投标文件组成</w:t>
      </w:r>
      <w:bookmarkEnd w:id="66"/>
      <w:bookmarkEnd w:id="67"/>
      <w:bookmarkEnd w:id="68"/>
    </w:p>
    <w:p w14:paraId="7B80CEBC">
      <w:pPr>
        <w:pStyle w:val="30"/>
        <w:pageBreakBefore w:val="0"/>
        <w:kinsoku/>
        <w:wordWrap/>
        <w:overflowPunct/>
        <w:topLinePunct w:val="0"/>
        <w:bidi w:val="0"/>
        <w:spacing w:after="0" w:line="500" w:lineRule="exact"/>
        <w:ind w:firstLine="573" w:firstLineChars="238"/>
        <w:textAlignment w:val="auto"/>
        <w:rPr>
          <w:rFonts w:ascii="宋体" w:hAnsi="宋体"/>
          <w:b/>
          <w:highlight w:val="none"/>
        </w:rPr>
      </w:pPr>
      <w:r>
        <w:rPr>
          <w:rFonts w:ascii="宋体" w:hAnsi="宋体"/>
          <w:b/>
          <w:highlight w:val="none"/>
        </w:rPr>
        <w:t xml:space="preserve">9.1 </w:t>
      </w:r>
      <w:r>
        <w:rPr>
          <w:rFonts w:hint="eastAsia" w:ascii="宋体" w:hAnsi="宋体"/>
          <w:b/>
          <w:highlight w:val="none"/>
        </w:rPr>
        <w:t>商务文件</w:t>
      </w:r>
    </w:p>
    <w:p w14:paraId="59EC75FE">
      <w:pPr>
        <w:pStyle w:val="46"/>
        <w:pageBreakBefore w:val="0"/>
        <w:kinsoku/>
        <w:wordWrap/>
        <w:overflowPunct/>
        <w:topLinePunct w:val="0"/>
        <w:bidi w:val="0"/>
        <w:spacing w:line="500" w:lineRule="exact"/>
        <w:ind w:left="1144" w:leftChars="272" w:hanging="573" w:hangingChars="239"/>
        <w:textAlignment w:val="auto"/>
        <w:rPr>
          <w:rFonts w:ascii="宋体" w:hAnsi="宋体"/>
          <w:highlight w:val="none"/>
        </w:rPr>
      </w:pPr>
      <w:bookmarkStart w:id="69" w:name="_Toc352332863"/>
      <w:bookmarkStart w:id="70" w:name="_Toc346372889"/>
      <w:bookmarkStart w:id="71" w:name="_Toc346306742"/>
      <w:r>
        <w:rPr>
          <w:rFonts w:hint="eastAsia" w:ascii="宋体" w:hAnsi="宋体"/>
          <w:highlight w:val="none"/>
        </w:rPr>
        <w:t>（</w:t>
      </w:r>
      <w:r>
        <w:rPr>
          <w:rFonts w:ascii="宋体" w:hAnsi="宋体"/>
          <w:highlight w:val="none"/>
        </w:rPr>
        <w:t>1</w:t>
      </w:r>
      <w:r>
        <w:rPr>
          <w:rFonts w:hint="eastAsia" w:ascii="宋体" w:hAnsi="宋体"/>
          <w:highlight w:val="none"/>
        </w:rPr>
        <w:t>）投标函；</w:t>
      </w:r>
    </w:p>
    <w:p w14:paraId="279DC090">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hint="eastAsia" w:ascii="宋体" w:hAnsi="宋体"/>
          <w:highlight w:val="none"/>
        </w:rPr>
        <w:t>（</w:t>
      </w:r>
      <w:r>
        <w:rPr>
          <w:rFonts w:ascii="宋体" w:hAnsi="宋体"/>
          <w:highlight w:val="none"/>
        </w:rPr>
        <w:t>2</w:t>
      </w:r>
      <w:r>
        <w:rPr>
          <w:rFonts w:hint="eastAsia" w:ascii="宋体" w:hAnsi="宋体"/>
          <w:highlight w:val="none"/>
        </w:rPr>
        <w:t>）法定代表人授权委托书；</w:t>
      </w:r>
    </w:p>
    <w:p w14:paraId="6526C4FC">
      <w:pPr>
        <w:pStyle w:val="46"/>
        <w:pageBreakBefore w:val="0"/>
        <w:kinsoku/>
        <w:wordWrap/>
        <w:overflowPunct/>
        <w:topLinePunct w:val="0"/>
        <w:bidi w:val="0"/>
        <w:spacing w:line="500" w:lineRule="exact"/>
        <w:ind w:left="1144" w:leftChars="272" w:hanging="573" w:hangingChars="239"/>
        <w:textAlignment w:val="auto"/>
        <w:rPr>
          <w:rFonts w:hint="eastAsia" w:ascii="宋体" w:hAnsi="宋体"/>
          <w:highlight w:val="none"/>
        </w:rPr>
      </w:pPr>
      <w:r>
        <w:rPr>
          <w:rFonts w:hint="eastAsia" w:ascii="宋体" w:hAnsi="宋体"/>
          <w:highlight w:val="none"/>
        </w:rPr>
        <w:t>（3）开标一览表；</w:t>
      </w:r>
    </w:p>
    <w:p w14:paraId="2FE9EBF0">
      <w:pPr>
        <w:pStyle w:val="46"/>
        <w:pageBreakBefore w:val="0"/>
        <w:kinsoku/>
        <w:wordWrap/>
        <w:overflowPunct/>
        <w:topLinePunct w:val="0"/>
        <w:bidi w:val="0"/>
        <w:spacing w:line="500" w:lineRule="exact"/>
        <w:ind w:left="1144" w:leftChars="272" w:hanging="573" w:hangingChars="239"/>
        <w:textAlignment w:val="auto"/>
        <w:rPr>
          <w:rFonts w:hint="eastAsia" w:ascii="宋体" w:hAnsi="宋体"/>
          <w:highlight w:val="none"/>
        </w:rPr>
      </w:pPr>
      <w:r>
        <w:rPr>
          <w:rFonts w:hint="eastAsia" w:ascii="宋体" w:hAnsi="宋体"/>
          <w:highlight w:val="none"/>
        </w:rPr>
        <w:t xml:space="preserve">（4）分项报价表； </w:t>
      </w:r>
    </w:p>
    <w:p w14:paraId="4E91F3D0">
      <w:pPr>
        <w:pStyle w:val="46"/>
        <w:pageBreakBefore w:val="0"/>
        <w:kinsoku/>
        <w:wordWrap/>
        <w:overflowPunct/>
        <w:topLinePunct w:val="0"/>
        <w:bidi w:val="0"/>
        <w:spacing w:line="500" w:lineRule="exact"/>
        <w:ind w:left="1144" w:leftChars="272" w:hanging="573" w:hangingChars="239"/>
        <w:textAlignment w:val="auto"/>
        <w:rPr>
          <w:rFonts w:hint="eastAsia" w:ascii="宋体" w:hAnsi="宋体"/>
          <w:highlight w:val="none"/>
        </w:rPr>
      </w:pPr>
      <w:r>
        <w:rPr>
          <w:rFonts w:hint="eastAsia" w:ascii="宋体" w:hAnsi="宋体"/>
          <w:highlight w:val="none"/>
        </w:rPr>
        <w:t>（5）商务响应一览表；</w:t>
      </w:r>
    </w:p>
    <w:p w14:paraId="32C2748F">
      <w:pPr>
        <w:pStyle w:val="46"/>
        <w:pageBreakBefore w:val="0"/>
        <w:kinsoku/>
        <w:wordWrap/>
        <w:overflowPunct/>
        <w:topLinePunct w:val="0"/>
        <w:bidi w:val="0"/>
        <w:spacing w:line="500" w:lineRule="exact"/>
        <w:ind w:left="1144" w:leftChars="272" w:hanging="573" w:hangingChars="239"/>
        <w:textAlignment w:val="auto"/>
        <w:rPr>
          <w:rFonts w:hint="eastAsia" w:ascii="宋体" w:hAnsi="宋体"/>
          <w:highlight w:val="none"/>
        </w:rPr>
      </w:pPr>
      <w:r>
        <w:rPr>
          <w:rFonts w:hint="eastAsia" w:ascii="宋体" w:hAnsi="宋体"/>
          <w:highlight w:val="none"/>
        </w:rPr>
        <w:t xml:space="preserve">（6）近年类似业绩一览表，附相关证明材料； </w:t>
      </w:r>
    </w:p>
    <w:p w14:paraId="51ED50B7">
      <w:pPr>
        <w:pStyle w:val="46"/>
        <w:pageBreakBefore w:val="0"/>
        <w:kinsoku/>
        <w:wordWrap/>
        <w:overflowPunct/>
        <w:topLinePunct w:val="0"/>
        <w:bidi w:val="0"/>
        <w:spacing w:line="500" w:lineRule="exact"/>
        <w:ind w:left="1144" w:leftChars="272" w:hanging="573" w:hangingChars="239"/>
        <w:textAlignment w:val="auto"/>
        <w:rPr>
          <w:rFonts w:hint="eastAsia" w:ascii="宋体" w:hAnsi="宋体"/>
          <w:highlight w:val="none"/>
        </w:rPr>
      </w:pPr>
      <w:r>
        <w:rPr>
          <w:rFonts w:hint="eastAsia" w:ascii="宋体" w:hAnsi="宋体"/>
          <w:highlight w:val="none"/>
        </w:rPr>
        <w:t>（7）商务情况表；</w:t>
      </w:r>
    </w:p>
    <w:p w14:paraId="4A25E17F">
      <w:pPr>
        <w:pStyle w:val="46"/>
        <w:pageBreakBefore w:val="0"/>
        <w:kinsoku/>
        <w:wordWrap/>
        <w:overflowPunct/>
        <w:topLinePunct w:val="0"/>
        <w:bidi w:val="0"/>
        <w:spacing w:line="500" w:lineRule="exact"/>
        <w:ind w:left="1144" w:leftChars="272" w:hanging="573" w:hangingChars="239"/>
        <w:textAlignment w:val="auto"/>
        <w:rPr>
          <w:rFonts w:hint="eastAsia" w:ascii="宋体" w:hAnsi="宋体"/>
          <w:highlight w:val="none"/>
        </w:rPr>
      </w:pPr>
      <w:r>
        <w:rPr>
          <w:rFonts w:hint="eastAsia" w:ascii="宋体" w:hAnsi="宋体"/>
          <w:highlight w:val="none"/>
        </w:rPr>
        <w:t>（8）供应商认为需要提供的其他材料；</w:t>
      </w:r>
    </w:p>
    <w:p w14:paraId="49A3F9CF">
      <w:pPr>
        <w:pStyle w:val="46"/>
        <w:pageBreakBefore w:val="0"/>
        <w:kinsoku/>
        <w:wordWrap/>
        <w:overflowPunct/>
        <w:topLinePunct w:val="0"/>
        <w:bidi w:val="0"/>
        <w:spacing w:line="500" w:lineRule="exact"/>
        <w:ind w:left="1144" w:leftChars="272" w:hanging="573" w:hangingChars="239"/>
        <w:textAlignment w:val="auto"/>
        <w:rPr>
          <w:rFonts w:hint="eastAsia" w:ascii="宋体" w:hAnsi="宋体"/>
          <w:highlight w:val="none"/>
        </w:rPr>
      </w:pPr>
      <w:r>
        <w:rPr>
          <w:rFonts w:hint="eastAsia" w:ascii="宋体" w:hAnsi="宋体"/>
          <w:highlight w:val="none"/>
        </w:rPr>
        <w:t>（9）供应商认为需要加以说明的其他内容。</w:t>
      </w:r>
    </w:p>
    <w:p w14:paraId="22FD5CA4">
      <w:pPr>
        <w:pStyle w:val="30"/>
        <w:pageBreakBefore w:val="0"/>
        <w:kinsoku/>
        <w:wordWrap/>
        <w:overflowPunct/>
        <w:topLinePunct w:val="0"/>
        <w:bidi w:val="0"/>
        <w:spacing w:after="0" w:line="500" w:lineRule="exact"/>
        <w:ind w:firstLine="691" w:firstLineChars="287"/>
        <w:textAlignment w:val="auto"/>
        <w:rPr>
          <w:rFonts w:ascii="宋体" w:hAnsi="宋体"/>
          <w:highlight w:val="none"/>
        </w:rPr>
      </w:pPr>
      <w:r>
        <w:rPr>
          <w:rFonts w:ascii="宋体" w:hAnsi="宋体"/>
          <w:b/>
          <w:highlight w:val="none"/>
        </w:rPr>
        <w:t xml:space="preserve">9.2 </w:t>
      </w:r>
      <w:r>
        <w:rPr>
          <w:rFonts w:hint="eastAsia" w:ascii="宋体" w:hAnsi="宋体"/>
          <w:b/>
          <w:highlight w:val="none"/>
        </w:rPr>
        <w:t>技术文件：</w:t>
      </w:r>
    </w:p>
    <w:p w14:paraId="532A0ABF">
      <w:pPr>
        <w:pStyle w:val="30"/>
        <w:pageBreakBefore w:val="0"/>
        <w:kinsoku/>
        <w:wordWrap/>
        <w:overflowPunct/>
        <w:topLinePunct w:val="0"/>
        <w:bidi w:val="0"/>
        <w:spacing w:after="0" w:line="500" w:lineRule="exact"/>
        <w:ind w:firstLine="489" w:firstLineChars="203"/>
        <w:textAlignment w:val="auto"/>
        <w:rPr>
          <w:rFonts w:hint="eastAsia" w:ascii="宋体" w:hAnsi="宋体" w:eastAsia="宋体" w:cs="宋体"/>
          <w:b/>
          <w:bCs w:val="0"/>
          <w:highlight w:val="none"/>
          <w:lang w:val="en-US" w:eastAsia="zh-CN"/>
        </w:rPr>
      </w:pPr>
      <w:r>
        <w:rPr>
          <w:rFonts w:hint="eastAsia" w:ascii="宋体" w:hAnsi="宋体" w:eastAsia="宋体" w:cs="宋体"/>
          <w:b/>
          <w:bCs w:val="0"/>
          <w:highlight w:val="none"/>
          <w:lang w:val="en-US" w:eastAsia="zh-CN"/>
        </w:rPr>
        <w:t>B包：</w:t>
      </w:r>
    </w:p>
    <w:p w14:paraId="690391D9">
      <w:pPr>
        <w:pStyle w:val="30"/>
        <w:pageBreakBefore w:val="0"/>
        <w:kinsoku/>
        <w:wordWrap/>
        <w:overflowPunct/>
        <w:topLinePunct w:val="0"/>
        <w:bidi w:val="0"/>
        <w:spacing w:after="0" w:line="500" w:lineRule="exact"/>
        <w:ind w:firstLine="487" w:firstLineChars="203"/>
        <w:textAlignment w:val="auto"/>
        <w:rPr>
          <w:rFonts w:hint="eastAsia" w:ascii="宋体" w:hAnsi="宋体" w:cs="宋体"/>
          <w:bCs/>
          <w:highlight w:val="none"/>
        </w:rPr>
      </w:pPr>
      <w:r>
        <w:rPr>
          <w:rFonts w:hint="eastAsia" w:ascii="宋体" w:hAnsi="宋体" w:cs="宋体"/>
          <w:bCs/>
          <w:highlight w:val="none"/>
        </w:rPr>
        <w:t>（1）整体服务方案；</w:t>
      </w:r>
    </w:p>
    <w:p w14:paraId="1FE3F68C">
      <w:pPr>
        <w:pStyle w:val="30"/>
        <w:pageBreakBefore w:val="0"/>
        <w:kinsoku/>
        <w:wordWrap/>
        <w:overflowPunct/>
        <w:topLinePunct w:val="0"/>
        <w:bidi w:val="0"/>
        <w:spacing w:after="0" w:line="500" w:lineRule="exact"/>
        <w:ind w:firstLine="487" w:firstLineChars="203"/>
        <w:textAlignment w:val="auto"/>
        <w:rPr>
          <w:rFonts w:ascii="宋体" w:hAnsi="宋体" w:cs="宋体"/>
          <w:bCs/>
          <w:highlight w:val="none"/>
        </w:rPr>
      </w:pPr>
      <w:r>
        <w:rPr>
          <w:rFonts w:hint="eastAsia" w:ascii="宋体" w:hAnsi="宋体" w:cs="宋体"/>
          <w:bCs/>
          <w:highlight w:val="none"/>
        </w:rPr>
        <w:t>（2）</w:t>
      </w:r>
      <w:r>
        <w:rPr>
          <w:rFonts w:hint="eastAsia" w:ascii="宋体" w:hAnsi="宋体" w:cs="宋体"/>
          <w:highlight w:val="none"/>
        </w:rPr>
        <w:t>管理制度和员工考核制度</w:t>
      </w:r>
      <w:r>
        <w:rPr>
          <w:rFonts w:hint="eastAsia" w:ascii="宋体" w:hAnsi="宋体" w:cs="宋体"/>
          <w:bCs/>
          <w:highlight w:val="none"/>
        </w:rPr>
        <w:t>；</w:t>
      </w:r>
    </w:p>
    <w:p w14:paraId="3775175E">
      <w:pPr>
        <w:pStyle w:val="30"/>
        <w:pageBreakBefore w:val="0"/>
        <w:kinsoku/>
        <w:wordWrap/>
        <w:overflowPunct/>
        <w:topLinePunct w:val="0"/>
        <w:bidi w:val="0"/>
        <w:spacing w:after="0" w:line="500" w:lineRule="exact"/>
        <w:ind w:firstLine="487" w:firstLineChars="203"/>
        <w:textAlignment w:val="auto"/>
        <w:rPr>
          <w:rFonts w:hint="eastAsia" w:ascii="宋体" w:hAnsi="宋体" w:cs="宋体"/>
          <w:bCs/>
          <w:highlight w:val="none"/>
        </w:rPr>
      </w:pPr>
      <w:r>
        <w:rPr>
          <w:rFonts w:hint="eastAsia" w:ascii="宋体" w:hAnsi="宋体" w:cs="宋体"/>
          <w:bCs/>
          <w:highlight w:val="none"/>
        </w:rPr>
        <w:t>（3）服务流程及管理方案；</w:t>
      </w:r>
    </w:p>
    <w:p w14:paraId="67A31ECC">
      <w:pPr>
        <w:pStyle w:val="30"/>
        <w:pageBreakBefore w:val="0"/>
        <w:kinsoku/>
        <w:wordWrap/>
        <w:overflowPunct/>
        <w:topLinePunct w:val="0"/>
        <w:bidi w:val="0"/>
        <w:spacing w:after="0" w:line="500" w:lineRule="exact"/>
        <w:ind w:firstLine="487" w:firstLineChars="203"/>
        <w:textAlignment w:val="auto"/>
        <w:rPr>
          <w:rFonts w:hint="eastAsia" w:ascii="宋体" w:hAnsi="宋体" w:cs="宋体"/>
          <w:highlight w:val="none"/>
        </w:rPr>
      </w:pPr>
      <w:r>
        <w:rPr>
          <w:rFonts w:hint="eastAsia" w:ascii="宋体" w:hAnsi="宋体" w:cs="宋体"/>
          <w:bCs/>
          <w:highlight w:val="none"/>
        </w:rPr>
        <w:t>（4）</w:t>
      </w:r>
      <w:r>
        <w:rPr>
          <w:rFonts w:hint="eastAsia" w:ascii="宋体" w:hAnsi="宋体" w:cs="宋体"/>
          <w:highlight w:val="none"/>
        </w:rPr>
        <w:t>人员流动解决方案</w:t>
      </w:r>
    </w:p>
    <w:p w14:paraId="33971F12">
      <w:pPr>
        <w:pStyle w:val="30"/>
        <w:pageBreakBefore w:val="0"/>
        <w:kinsoku/>
        <w:wordWrap/>
        <w:overflowPunct/>
        <w:topLinePunct w:val="0"/>
        <w:bidi w:val="0"/>
        <w:spacing w:after="0" w:line="500" w:lineRule="exact"/>
        <w:ind w:firstLine="487" w:firstLineChars="203"/>
        <w:textAlignment w:val="auto"/>
        <w:rPr>
          <w:rFonts w:hint="eastAsia" w:ascii="宋体" w:hAnsi="宋体" w:cs="宋体"/>
          <w:bCs/>
          <w:highlight w:val="none"/>
        </w:rPr>
      </w:pPr>
      <w:r>
        <w:rPr>
          <w:rFonts w:hint="eastAsia" w:ascii="宋体" w:hAnsi="宋体" w:cs="宋体"/>
          <w:highlight w:val="none"/>
        </w:rPr>
        <w:t>（5）</w:t>
      </w:r>
      <w:r>
        <w:rPr>
          <w:rFonts w:hint="eastAsia" w:ascii="宋体" w:hAnsi="宋体" w:cs="宋体"/>
          <w:bCs/>
          <w:highlight w:val="none"/>
        </w:rPr>
        <w:t>服务保证措施；</w:t>
      </w:r>
    </w:p>
    <w:p w14:paraId="579DCFF5">
      <w:pPr>
        <w:pStyle w:val="30"/>
        <w:pageBreakBefore w:val="0"/>
        <w:kinsoku/>
        <w:wordWrap/>
        <w:overflowPunct/>
        <w:topLinePunct w:val="0"/>
        <w:bidi w:val="0"/>
        <w:spacing w:after="0" w:line="500" w:lineRule="exact"/>
        <w:ind w:firstLine="487" w:firstLineChars="203"/>
        <w:textAlignment w:val="auto"/>
        <w:rPr>
          <w:rFonts w:hint="eastAsia" w:ascii="宋体" w:hAnsi="宋体" w:cs="宋体"/>
          <w:color w:val="auto"/>
          <w:kern w:val="0"/>
          <w:sz w:val="24"/>
          <w:highlight w:val="none"/>
          <w:lang w:eastAsia="zh-CN"/>
        </w:rPr>
      </w:pPr>
      <w:r>
        <w:rPr>
          <w:rFonts w:hint="eastAsia" w:ascii="宋体" w:hAnsi="宋体" w:cs="宋体"/>
          <w:bCs/>
          <w:highlight w:val="none"/>
        </w:rPr>
        <w:t>（6）</w:t>
      </w:r>
      <w:r>
        <w:rPr>
          <w:rFonts w:hint="eastAsia" w:ascii="宋体" w:hAnsi="宋体" w:cs="宋体"/>
          <w:color w:val="auto"/>
          <w:kern w:val="0"/>
          <w:sz w:val="24"/>
          <w:highlight w:val="none"/>
          <w:lang w:val="en-US" w:eastAsia="zh-CN"/>
        </w:rPr>
        <w:t>拟投入本项目的设备</w:t>
      </w:r>
      <w:r>
        <w:rPr>
          <w:rFonts w:hint="eastAsia" w:ascii="宋体" w:hAnsi="宋体" w:cs="宋体"/>
          <w:color w:val="auto"/>
          <w:kern w:val="0"/>
          <w:sz w:val="24"/>
          <w:highlight w:val="none"/>
        </w:rPr>
        <w:t>配备</w:t>
      </w:r>
      <w:r>
        <w:rPr>
          <w:rFonts w:hint="eastAsia" w:ascii="宋体" w:hAnsi="宋体" w:cs="宋体"/>
          <w:color w:val="auto"/>
          <w:kern w:val="0"/>
          <w:sz w:val="24"/>
          <w:highlight w:val="none"/>
          <w:lang w:eastAsia="zh-CN"/>
        </w:rPr>
        <w:t>；</w:t>
      </w:r>
    </w:p>
    <w:p w14:paraId="5A679881">
      <w:pPr>
        <w:pStyle w:val="30"/>
        <w:pageBreakBefore w:val="0"/>
        <w:kinsoku/>
        <w:wordWrap/>
        <w:overflowPunct/>
        <w:topLinePunct w:val="0"/>
        <w:bidi w:val="0"/>
        <w:spacing w:after="0" w:line="500" w:lineRule="exact"/>
        <w:ind w:firstLine="487" w:firstLineChars="203"/>
        <w:textAlignment w:val="auto"/>
        <w:rPr>
          <w:rFonts w:ascii="宋体" w:hAnsi="宋体" w:cs="宋体"/>
          <w:bCs/>
          <w:highlight w:val="none"/>
        </w:rPr>
      </w:pPr>
      <w:r>
        <w:rPr>
          <w:rFonts w:hint="eastAsia" w:ascii="宋体" w:hAnsi="宋体" w:cs="宋体"/>
          <w:bCs/>
          <w:highlight w:val="none"/>
        </w:rPr>
        <w:t>（</w:t>
      </w:r>
      <w:r>
        <w:rPr>
          <w:rFonts w:hint="eastAsia" w:ascii="宋体" w:hAnsi="宋体" w:cs="宋体"/>
          <w:bCs/>
          <w:highlight w:val="none"/>
          <w:lang w:val="en-US" w:eastAsia="zh-CN"/>
        </w:rPr>
        <w:t>7</w:t>
      </w:r>
      <w:r>
        <w:rPr>
          <w:rFonts w:hint="eastAsia" w:ascii="宋体" w:hAnsi="宋体" w:cs="宋体"/>
          <w:bCs/>
          <w:highlight w:val="none"/>
        </w:rPr>
        <w:t>）</w:t>
      </w:r>
      <w:r>
        <w:rPr>
          <w:rFonts w:hint="eastAsia" w:ascii="宋体" w:hAnsi="宋体" w:cs="宋体"/>
          <w:bCs/>
          <w:kern w:val="2"/>
          <w:szCs w:val="24"/>
          <w:highlight w:val="none"/>
        </w:rPr>
        <w:t>项目重点、难点分析及处理方案</w:t>
      </w:r>
      <w:r>
        <w:rPr>
          <w:rFonts w:hint="eastAsia" w:ascii="宋体" w:hAnsi="宋体" w:cs="宋体"/>
          <w:bCs/>
          <w:highlight w:val="none"/>
        </w:rPr>
        <w:t>；</w:t>
      </w:r>
    </w:p>
    <w:p w14:paraId="773786AE">
      <w:pPr>
        <w:pStyle w:val="30"/>
        <w:pageBreakBefore w:val="0"/>
        <w:kinsoku/>
        <w:wordWrap/>
        <w:overflowPunct/>
        <w:topLinePunct w:val="0"/>
        <w:bidi w:val="0"/>
        <w:spacing w:after="0" w:line="500" w:lineRule="exact"/>
        <w:ind w:firstLine="487" w:firstLineChars="203"/>
        <w:textAlignment w:val="auto"/>
        <w:rPr>
          <w:rFonts w:hint="eastAsia" w:ascii="宋体" w:hAnsi="宋体" w:cs="宋体"/>
          <w:bCs/>
          <w:highlight w:val="none"/>
        </w:rPr>
      </w:pPr>
      <w:r>
        <w:rPr>
          <w:rFonts w:hint="eastAsia" w:ascii="宋体" w:hAnsi="宋体" w:cs="宋体"/>
          <w:bCs/>
          <w:highlight w:val="none"/>
        </w:rPr>
        <w:t>（</w:t>
      </w:r>
      <w:r>
        <w:rPr>
          <w:rFonts w:hint="eastAsia" w:ascii="宋体" w:hAnsi="宋体" w:cs="宋体"/>
          <w:bCs/>
          <w:highlight w:val="none"/>
          <w:lang w:val="en-US" w:eastAsia="zh-CN"/>
        </w:rPr>
        <w:t>8</w:t>
      </w:r>
      <w:r>
        <w:rPr>
          <w:rFonts w:hint="eastAsia" w:ascii="宋体" w:hAnsi="宋体" w:cs="宋体"/>
          <w:bCs/>
          <w:highlight w:val="none"/>
        </w:rPr>
        <w:t>）突发事件应急预案；</w:t>
      </w:r>
    </w:p>
    <w:p w14:paraId="1AF0550D">
      <w:pPr>
        <w:pStyle w:val="30"/>
        <w:pageBreakBefore w:val="0"/>
        <w:kinsoku/>
        <w:wordWrap/>
        <w:overflowPunct/>
        <w:topLinePunct w:val="0"/>
        <w:bidi w:val="0"/>
        <w:spacing w:after="0" w:line="500" w:lineRule="exact"/>
        <w:ind w:firstLine="487" w:firstLineChars="203"/>
        <w:textAlignment w:val="auto"/>
        <w:rPr>
          <w:rFonts w:ascii="宋体" w:hAnsi="宋体" w:cs="宋体"/>
          <w:bCs/>
          <w:highlight w:val="none"/>
        </w:rPr>
      </w:pPr>
      <w:r>
        <w:rPr>
          <w:rFonts w:hint="eastAsia" w:ascii="宋体" w:hAnsi="宋体" w:cs="宋体"/>
          <w:bCs/>
          <w:highlight w:val="none"/>
        </w:rPr>
        <w:t>（9）人员培训方案；</w:t>
      </w:r>
    </w:p>
    <w:p w14:paraId="4ED6E9F4">
      <w:pPr>
        <w:pStyle w:val="30"/>
        <w:pageBreakBefore w:val="0"/>
        <w:kinsoku/>
        <w:wordWrap/>
        <w:overflowPunct/>
        <w:topLinePunct w:val="0"/>
        <w:bidi w:val="0"/>
        <w:spacing w:after="0" w:line="500" w:lineRule="exact"/>
        <w:ind w:firstLine="487" w:firstLineChars="203"/>
        <w:textAlignment w:val="auto"/>
        <w:rPr>
          <w:rFonts w:ascii="宋体" w:hAnsi="宋体" w:cs="宋体"/>
          <w:bCs/>
          <w:highlight w:val="none"/>
        </w:rPr>
      </w:pPr>
      <w:r>
        <w:rPr>
          <w:rFonts w:hint="eastAsia" w:ascii="宋体" w:hAnsi="宋体" w:cs="宋体"/>
          <w:bCs/>
          <w:highlight w:val="none"/>
        </w:rPr>
        <w:t>（10）项目人员配备；</w:t>
      </w:r>
    </w:p>
    <w:p w14:paraId="75E77D55">
      <w:pPr>
        <w:pStyle w:val="30"/>
        <w:pageBreakBefore w:val="0"/>
        <w:kinsoku/>
        <w:wordWrap/>
        <w:overflowPunct/>
        <w:topLinePunct w:val="0"/>
        <w:bidi w:val="0"/>
        <w:spacing w:after="0" w:line="500" w:lineRule="exact"/>
        <w:ind w:firstLine="487" w:firstLineChars="203"/>
        <w:textAlignment w:val="auto"/>
        <w:rPr>
          <w:rFonts w:ascii="宋体" w:hAnsi="宋体" w:cs="宋体"/>
          <w:bCs/>
          <w:highlight w:val="none"/>
        </w:rPr>
      </w:pPr>
      <w:r>
        <w:rPr>
          <w:rFonts w:hint="eastAsia" w:ascii="宋体" w:hAnsi="宋体" w:cs="宋体"/>
          <w:bCs/>
          <w:highlight w:val="none"/>
        </w:rPr>
        <w:t>（11）</w:t>
      </w:r>
      <w:r>
        <w:rPr>
          <w:rFonts w:hint="eastAsia" w:ascii="宋体" w:hAnsi="宋体" w:cs="宋体"/>
          <w:szCs w:val="24"/>
          <w:highlight w:val="none"/>
        </w:rPr>
        <w:t>服务承诺和合理化建议</w:t>
      </w:r>
      <w:r>
        <w:rPr>
          <w:rFonts w:hint="eastAsia" w:ascii="宋体" w:hAnsi="宋体" w:cs="宋体"/>
          <w:bCs/>
          <w:highlight w:val="none"/>
        </w:rPr>
        <w:t>；</w:t>
      </w:r>
    </w:p>
    <w:p w14:paraId="72B197AF">
      <w:pPr>
        <w:pStyle w:val="30"/>
        <w:pageBreakBefore w:val="0"/>
        <w:kinsoku/>
        <w:wordWrap/>
        <w:overflowPunct/>
        <w:topLinePunct w:val="0"/>
        <w:bidi w:val="0"/>
        <w:spacing w:after="0" w:line="500" w:lineRule="exact"/>
        <w:ind w:firstLine="487" w:firstLineChars="203"/>
        <w:textAlignment w:val="auto"/>
        <w:rPr>
          <w:rFonts w:ascii="宋体" w:hAnsi="宋体" w:cs="宋体"/>
          <w:bCs/>
          <w:highlight w:val="none"/>
        </w:rPr>
      </w:pPr>
      <w:r>
        <w:rPr>
          <w:rFonts w:hint="eastAsia" w:ascii="宋体" w:hAnsi="宋体" w:cs="宋体"/>
          <w:bCs/>
          <w:highlight w:val="none"/>
        </w:rPr>
        <w:t>（12）服务响应一览表；</w:t>
      </w:r>
    </w:p>
    <w:p w14:paraId="2CA7A780">
      <w:pPr>
        <w:pStyle w:val="30"/>
        <w:pageBreakBefore w:val="0"/>
        <w:kinsoku/>
        <w:wordWrap/>
        <w:overflowPunct/>
        <w:topLinePunct w:val="0"/>
        <w:bidi w:val="0"/>
        <w:spacing w:after="0" w:line="500" w:lineRule="exact"/>
        <w:ind w:firstLine="487" w:firstLineChars="203"/>
        <w:textAlignment w:val="auto"/>
        <w:rPr>
          <w:rFonts w:hint="eastAsia" w:ascii="宋体" w:hAnsi="宋体" w:cs="宋体"/>
          <w:bCs/>
          <w:highlight w:val="none"/>
        </w:rPr>
      </w:pPr>
      <w:r>
        <w:rPr>
          <w:rFonts w:hint="eastAsia" w:ascii="宋体" w:hAnsi="宋体" w:cs="宋体"/>
          <w:bCs/>
          <w:highlight w:val="none"/>
        </w:rPr>
        <w:t>（13）供应商认为需要提供的其他材料或说明。</w:t>
      </w:r>
    </w:p>
    <w:p w14:paraId="3DD816E0">
      <w:pPr>
        <w:pStyle w:val="46"/>
        <w:pageBreakBefore w:val="0"/>
        <w:kinsoku/>
        <w:wordWrap/>
        <w:overflowPunct/>
        <w:topLinePunct w:val="0"/>
        <w:bidi w:val="0"/>
        <w:spacing w:line="500" w:lineRule="exact"/>
        <w:ind w:left="1147" w:leftChars="272" w:hanging="576" w:hangingChars="239"/>
        <w:textAlignment w:val="auto"/>
        <w:rPr>
          <w:rFonts w:ascii="宋体" w:hAnsi="宋体"/>
          <w:b/>
          <w:highlight w:val="none"/>
        </w:rPr>
      </w:pPr>
      <w:r>
        <w:rPr>
          <w:rFonts w:ascii="宋体" w:hAnsi="宋体"/>
          <w:b/>
          <w:highlight w:val="none"/>
        </w:rPr>
        <w:t xml:space="preserve">9.3 </w:t>
      </w:r>
      <w:r>
        <w:rPr>
          <w:rFonts w:hint="eastAsia" w:ascii="宋体" w:hAnsi="宋体"/>
          <w:b/>
          <w:highlight w:val="none"/>
        </w:rPr>
        <w:t>资格、资质证明部分：</w:t>
      </w:r>
    </w:p>
    <w:p w14:paraId="75D6C739">
      <w:pPr>
        <w:pStyle w:val="30"/>
        <w:pageBreakBefore w:val="0"/>
        <w:kinsoku/>
        <w:wordWrap/>
        <w:overflowPunct/>
        <w:topLinePunct w:val="0"/>
        <w:bidi w:val="0"/>
        <w:spacing w:after="0" w:line="500" w:lineRule="exact"/>
        <w:ind w:firstLine="571" w:firstLineChars="238"/>
        <w:textAlignment w:val="auto"/>
        <w:rPr>
          <w:rFonts w:ascii="宋体" w:hAnsi="宋体"/>
          <w:szCs w:val="24"/>
          <w:highlight w:val="none"/>
        </w:rPr>
      </w:pPr>
      <w:r>
        <w:rPr>
          <w:rFonts w:hint="eastAsia" w:ascii="宋体" w:hAnsi="宋体"/>
          <w:szCs w:val="24"/>
          <w:highlight w:val="none"/>
        </w:rPr>
        <w:t>（</w:t>
      </w:r>
      <w:r>
        <w:rPr>
          <w:rFonts w:ascii="宋体" w:hAnsi="宋体"/>
          <w:szCs w:val="24"/>
          <w:highlight w:val="none"/>
        </w:rPr>
        <w:t>1</w:t>
      </w:r>
      <w:r>
        <w:rPr>
          <w:rFonts w:hint="eastAsia" w:ascii="宋体" w:hAnsi="宋体"/>
          <w:szCs w:val="24"/>
          <w:highlight w:val="none"/>
        </w:rPr>
        <w:t>）按《政府采购法实施条例》第十七条的规定，应提供的基本资格条件证明材料，详见供应商须知前附表。</w:t>
      </w:r>
    </w:p>
    <w:p w14:paraId="0DABAFD7">
      <w:pPr>
        <w:pStyle w:val="30"/>
        <w:pageBreakBefore w:val="0"/>
        <w:kinsoku/>
        <w:wordWrap/>
        <w:overflowPunct/>
        <w:topLinePunct w:val="0"/>
        <w:bidi w:val="0"/>
        <w:spacing w:after="0" w:line="500" w:lineRule="exact"/>
        <w:ind w:firstLine="571" w:firstLineChars="238"/>
        <w:textAlignment w:val="auto"/>
        <w:rPr>
          <w:rFonts w:hint="eastAsia" w:ascii="宋体" w:hAnsi="宋体"/>
          <w:szCs w:val="24"/>
          <w:highlight w:val="none"/>
        </w:rPr>
      </w:pPr>
      <w:r>
        <w:rPr>
          <w:rFonts w:hint="eastAsia" w:ascii="宋体" w:hAnsi="宋体"/>
          <w:szCs w:val="24"/>
          <w:highlight w:val="none"/>
        </w:rPr>
        <w:t>（2）供应商认为需要提交的其他相关证明文件。</w:t>
      </w:r>
    </w:p>
    <w:p w14:paraId="4D4AE311">
      <w:pPr>
        <w:pStyle w:val="30"/>
        <w:pageBreakBefore w:val="0"/>
        <w:kinsoku/>
        <w:wordWrap/>
        <w:overflowPunct/>
        <w:topLinePunct w:val="0"/>
        <w:bidi w:val="0"/>
        <w:spacing w:after="0" w:line="500" w:lineRule="exact"/>
        <w:ind w:firstLine="571" w:firstLineChars="238"/>
        <w:textAlignment w:val="auto"/>
        <w:rPr>
          <w:rFonts w:hint="eastAsia" w:ascii="宋体" w:hAnsi="宋体"/>
          <w:szCs w:val="24"/>
          <w:highlight w:val="none"/>
        </w:rPr>
      </w:pPr>
      <w:r>
        <w:rPr>
          <w:rFonts w:hint="eastAsia" w:ascii="宋体" w:hAnsi="宋体"/>
          <w:szCs w:val="24"/>
          <w:highlight w:val="none"/>
        </w:rPr>
        <w:t>具体内容详见供应商须知前附表。</w:t>
      </w:r>
    </w:p>
    <w:p w14:paraId="3B425137">
      <w:pPr>
        <w:pStyle w:val="30"/>
        <w:pageBreakBefore w:val="0"/>
        <w:kinsoku/>
        <w:wordWrap/>
        <w:overflowPunct/>
        <w:topLinePunct w:val="0"/>
        <w:bidi w:val="0"/>
        <w:spacing w:after="0" w:line="500" w:lineRule="exact"/>
        <w:ind w:firstLine="573" w:firstLineChars="238"/>
        <w:textAlignment w:val="auto"/>
        <w:rPr>
          <w:rFonts w:ascii="宋体" w:hAnsi="宋体" w:cs="宋体"/>
          <w:szCs w:val="24"/>
          <w:highlight w:val="none"/>
        </w:rPr>
      </w:pPr>
      <w:r>
        <w:rPr>
          <w:rFonts w:hint="eastAsia" w:ascii="宋体" w:hAnsi="宋体"/>
          <w:b/>
          <w:highlight w:val="none"/>
        </w:rPr>
        <w:t xml:space="preserve">9.4 </w:t>
      </w:r>
      <w:r>
        <w:rPr>
          <w:rFonts w:hint="eastAsia" w:ascii="宋体" w:hAnsi="宋体" w:cs="宋体"/>
          <w:szCs w:val="24"/>
          <w:highlight w:val="none"/>
        </w:rPr>
        <w:t>投标文件应按上述目录顺序、内容逐一列出，如内容不全，由评标委员会综合认定。招标文件中未提供格式，供应商可自拟格式。</w:t>
      </w:r>
    </w:p>
    <w:p w14:paraId="321993BF">
      <w:pPr>
        <w:pStyle w:val="30"/>
        <w:pageBreakBefore w:val="0"/>
        <w:tabs>
          <w:tab w:val="left" w:pos="955"/>
        </w:tabs>
        <w:kinsoku/>
        <w:wordWrap/>
        <w:overflowPunct/>
        <w:topLinePunct w:val="0"/>
        <w:bidi w:val="0"/>
        <w:spacing w:after="0" w:line="500" w:lineRule="exact"/>
        <w:ind w:left="1146" w:leftChars="273" w:hanging="573" w:hangingChars="238"/>
        <w:textAlignment w:val="auto"/>
        <w:rPr>
          <w:rFonts w:ascii="宋体" w:hAnsi="宋体"/>
          <w:b/>
          <w:highlight w:val="none"/>
        </w:rPr>
      </w:pPr>
      <w:r>
        <w:rPr>
          <w:rFonts w:ascii="宋体" w:hAnsi="宋体"/>
          <w:b/>
          <w:highlight w:val="none"/>
        </w:rPr>
        <w:t xml:space="preserve">10.  </w:t>
      </w:r>
      <w:r>
        <w:rPr>
          <w:rFonts w:hint="eastAsia" w:ascii="宋体" w:hAnsi="宋体"/>
          <w:b/>
          <w:highlight w:val="none"/>
        </w:rPr>
        <w:t>投标报价</w:t>
      </w:r>
      <w:bookmarkEnd w:id="69"/>
      <w:bookmarkEnd w:id="70"/>
      <w:bookmarkEnd w:id="71"/>
    </w:p>
    <w:p w14:paraId="0D5C139A">
      <w:pPr>
        <w:pStyle w:val="30"/>
        <w:pageBreakBefore w:val="0"/>
        <w:kinsoku/>
        <w:wordWrap/>
        <w:overflowPunct/>
        <w:topLinePunct w:val="0"/>
        <w:bidi w:val="0"/>
        <w:spacing w:after="0" w:line="500" w:lineRule="exact"/>
        <w:ind w:firstLine="573" w:firstLineChars="238"/>
        <w:textAlignment w:val="auto"/>
        <w:rPr>
          <w:rFonts w:ascii="宋体" w:hAnsi="宋体"/>
          <w:b/>
          <w:highlight w:val="none"/>
        </w:rPr>
      </w:pPr>
      <w:r>
        <w:rPr>
          <w:rFonts w:ascii="宋体" w:hAnsi="宋体"/>
          <w:b/>
          <w:highlight w:val="none"/>
        </w:rPr>
        <w:t>10.1</w:t>
      </w:r>
      <w:r>
        <w:rPr>
          <w:rFonts w:hint="eastAsia" w:ascii="宋体" w:hAnsi="宋体"/>
          <w:b/>
          <w:highlight w:val="none"/>
        </w:rPr>
        <w:t>供应商的报价应包括但不限于人员工资、社保费、福利费、服装费、节假日加班费、办公设备、利润、税金、风险及后续服务等的所需的全部费用，报价币种为人民币。其中服务人员工资必须符合合法用工的国家、省市标准。报价币种为人民币。</w:t>
      </w:r>
    </w:p>
    <w:p w14:paraId="0854C7D3">
      <w:pPr>
        <w:pStyle w:val="30"/>
        <w:pageBreakBefore w:val="0"/>
        <w:kinsoku/>
        <w:wordWrap/>
        <w:overflowPunct/>
        <w:topLinePunct w:val="0"/>
        <w:bidi w:val="0"/>
        <w:spacing w:after="0" w:line="500" w:lineRule="exact"/>
        <w:ind w:firstLine="573" w:firstLineChars="238"/>
        <w:textAlignment w:val="auto"/>
        <w:rPr>
          <w:rFonts w:ascii="宋体" w:hAnsi="宋体"/>
          <w:b/>
          <w:highlight w:val="none"/>
        </w:rPr>
      </w:pPr>
      <w:r>
        <w:rPr>
          <w:rFonts w:ascii="宋体" w:hAnsi="宋体"/>
          <w:b/>
          <w:highlight w:val="none"/>
        </w:rPr>
        <w:t>10.2</w:t>
      </w:r>
      <w:r>
        <w:rPr>
          <w:rFonts w:hint="eastAsia" w:ascii="宋体" w:hAnsi="宋体"/>
          <w:b/>
          <w:highlight w:val="none"/>
        </w:rPr>
        <w:t>供应商限报一种方案报价，采购人不接受可选择的投标方案和报价；供应商对投标报价作出优惠的，其投标文件及开标一览表中的投标报价均应为优惠后的最终报价。供应商对报价若有说明或优惠应在报价明细表和开标一览表中注明，否则该说明或优惠不予认可。</w:t>
      </w:r>
    </w:p>
    <w:p w14:paraId="2233F589">
      <w:pPr>
        <w:pStyle w:val="30"/>
        <w:pageBreakBefore w:val="0"/>
        <w:kinsoku/>
        <w:wordWrap/>
        <w:overflowPunct/>
        <w:topLinePunct w:val="0"/>
        <w:bidi w:val="0"/>
        <w:spacing w:after="0" w:line="500" w:lineRule="exact"/>
        <w:ind w:firstLine="571" w:firstLineChars="238"/>
        <w:textAlignment w:val="auto"/>
        <w:rPr>
          <w:rFonts w:hint="eastAsia" w:ascii="宋体" w:hAnsi="宋体"/>
          <w:highlight w:val="none"/>
        </w:rPr>
      </w:pPr>
      <w:r>
        <w:rPr>
          <w:rFonts w:ascii="宋体" w:hAnsi="宋体"/>
          <w:highlight w:val="none"/>
        </w:rPr>
        <w:t>10.3供应商应按照招标文件附件提供的</w:t>
      </w:r>
      <w:r>
        <w:rPr>
          <w:rFonts w:hint="eastAsia" w:ascii="宋体" w:hAnsi="宋体"/>
          <w:highlight w:val="none"/>
        </w:rPr>
        <w:t>报价表格</w:t>
      </w:r>
      <w:r>
        <w:rPr>
          <w:rFonts w:ascii="宋体" w:hAnsi="宋体"/>
          <w:highlight w:val="none"/>
        </w:rPr>
        <w:t>格式填写</w:t>
      </w:r>
      <w:r>
        <w:rPr>
          <w:rFonts w:hint="eastAsia" w:ascii="宋体" w:hAnsi="宋体"/>
          <w:highlight w:val="none"/>
        </w:rPr>
        <w:t>。未提供格式的，供应商可以自拟格式。</w:t>
      </w:r>
    </w:p>
    <w:p w14:paraId="606F3F65">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hint="eastAsia" w:ascii="宋体" w:hAnsi="宋体"/>
          <w:highlight w:val="none"/>
        </w:rPr>
        <w:t>10.4供应商提供的软/硬件产品要求在中华人民共和国境内拥有合法的使用权和版权，采购人应拥有合法的软件使用许可。供应商应在投标文件中对此予以响应。</w:t>
      </w:r>
    </w:p>
    <w:p w14:paraId="4CEC2E3E">
      <w:pPr>
        <w:pStyle w:val="30"/>
        <w:pageBreakBefore w:val="0"/>
        <w:kinsoku/>
        <w:wordWrap/>
        <w:overflowPunct/>
        <w:topLinePunct w:val="0"/>
        <w:bidi w:val="0"/>
        <w:spacing w:after="0" w:line="500" w:lineRule="exact"/>
        <w:ind w:firstLine="573" w:firstLineChars="238"/>
        <w:textAlignment w:val="auto"/>
        <w:rPr>
          <w:rFonts w:ascii="宋体" w:hAnsi="宋体"/>
          <w:b/>
          <w:bCs/>
          <w:highlight w:val="none"/>
        </w:rPr>
      </w:pPr>
      <w:r>
        <w:rPr>
          <w:rFonts w:ascii="宋体" w:hAnsi="宋体"/>
          <w:b/>
          <w:bCs/>
          <w:highlight w:val="none"/>
        </w:rPr>
        <w:t>10.</w:t>
      </w:r>
      <w:r>
        <w:rPr>
          <w:rFonts w:hint="eastAsia" w:ascii="宋体" w:hAnsi="宋体"/>
          <w:b/>
          <w:bCs/>
          <w:highlight w:val="none"/>
        </w:rPr>
        <w:t>5供应商的投标报价明显低于其他通过符合性审查供应商的报价，有可能影响商品质量和不能诚信履约的，评标委员会有权要求其在规定的时间内提供书面文件予以解释说明，并提交相关证明材料；投标人不能证明其报价合理性的，评标委员会应当将其作为无效投标处理。</w:t>
      </w:r>
    </w:p>
    <w:p w14:paraId="7F4869BD">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10.</w:t>
      </w:r>
      <w:r>
        <w:rPr>
          <w:rFonts w:hint="eastAsia" w:ascii="宋体" w:hAnsi="宋体"/>
          <w:highlight w:val="none"/>
        </w:rPr>
        <w:t>6开标一览表与投标文件不符，以开标一览表为准，但开标一览表有明显文字错误的除外。</w:t>
      </w:r>
    </w:p>
    <w:p w14:paraId="2F35CB88">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10.</w:t>
      </w:r>
      <w:r>
        <w:rPr>
          <w:rFonts w:hint="eastAsia" w:ascii="宋体" w:hAnsi="宋体"/>
          <w:highlight w:val="none"/>
        </w:rPr>
        <w:t>7</w:t>
      </w:r>
      <w:r>
        <w:rPr>
          <w:rFonts w:ascii="宋体" w:hAnsi="宋体"/>
          <w:highlight w:val="none"/>
        </w:rPr>
        <w:t xml:space="preserve"> </w:t>
      </w:r>
      <w:r>
        <w:rPr>
          <w:rFonts w:hint="eastAsia" w:ascii="宋体" w:hAnsi="宋体"/>
          <w:highlight w:val="none"/>
        </w:rPr>
        <w:t>如果大写金额和小写金额不一致时，以大写金额为准。</w:t>
      </w:r>
    </w:p>
    <w:p w14:paraId="652ADEAC">
      <w:pPr>
        <w:pStyle w:val="30"/>
        <w:pageBreakBefore w:val="0"/>
        <w:kinsoku/>
        <w:wordWrap/>
        <w:overflowPunct/>
        <w:topLinePunct w:val="0"/>
        <w:bidi w:val="0"/>
        <w:spacing w:after="0" w:line="500" w:lineRule="exact"/>
        <w:ind w:left="1146" w:leftChars="273" w:hanging="573" w:hangingChars="238"/>
        <w:textAlignment w:val="auto"/>
        <w:rPr>
          <w:rFonts w:ascii="宋体" w:hAnsi="宋体"/>
          <w:b/>
          <w:bCs/>
          <w:highlight w:val="none"/>
        </w:rPr>
      </w:pPr>
      <w:bookmarkStart w:id="72" w:name="_Toc346372900"/>
      <w:bookmarkStart w:id="73" w:name="_Toc346306753"/>
      <w:bookmarkStart w:id="74" w:name="_Toc352332874"/>
      <w:r>
        <w:rPr>
          <w:rFonts w:ascii="宋体" w:hAnsi="宋体"/>
          <w:b/>
          <w:bCs/>
          <w:highlight w:val="none"/>
        </w:rPr>
        <w:t xml:space="preserve">11.  </w:t>
      </w:r>
      <w:r>
        <w:rPr>
          <w:rFonts w:hint="eastAsia" w:ascii="宋体" w:hAnsi="宋体"/>
          <w:b/>
          <w:bCs/>
          <w:highlight w:val="none"/>
        </w:rPr>
        <w:t>投标文件编写</w:t>
      </w:r>
    </w:p>
    <w:p w14:paraId="70861A74">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11.1</w:t>
      </w:r>
      <w:r>
        <w:rPr>
          <w:rFonts w:hint="eastAsia" w:ascii="宋体" w:hAnsi="宋体"/>
          <w:highlight w:val="none"/>
        </w:rPr>
        <w:t>投标文件应按“投标文件组成”进行编写，如有必要，可以增加附页，作为投标文件的组成部分。</w:t>
      </w:r>
    </w:p>
    <w:p w14:paraId="70B559F9">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11.</w:t>
      </w:r>
      <w:r>
        <w:rPr>
          <w:rFonts w:hint="eastAsia" w:ascii="宋体" w:hAnsi="宋体"/>
          <w:highlight w:val="none"/>
          <w:lang w:val="en-US" w:eastAsia="zh-CN"/>
        </w:rPr>
        <w:t>2</w:t>
      </w:r>
      <w:r>
        <w:rPr>
          <w:rFonts w:hint="eastAsia" w:ascii="宋体" w:hAnsi="宋体"/>
          <w:highlight w:val="none"/>
        </w:rPr>
        <w:t>投标文件应尽量避免涂改、行间插字或删除。如果出现上述情况，改动之处应加盖单位章或由供应商的法定代表人或其委托代理人签字确认。</w:t>
      </w:r>
    </w:p>
    <w:p w14:paraId="04723693">
      <w:pPr>
        <w:pStyle w:val="30"/>
        <w:pageBreakBefore w:val="0"/>
        <w:kinsoku/>
        <w:wordWrap/>
        <w:overflowPunct/>
        <w:topLinePunct w:val="0"/>
        <w:bidi w:val="0"/>
        <w:spacing w:line="500" w:lineRule="exact"/>
        <w:ind w:firstLine="571" w:firstLineChars="238"/>
        <w:textAlignment w:val="auto"/>
        <w:rPr>
          <w:rFonts w:ascii="宋体" w:hAnsi="宋体"/>
          <w:highlight w:val="none"/>
        </w:rPr>
      </w:pPr>
      <w:r>
        <w:rPr>
          <w:rFonts w:ascii="宋体" w:hAnsi="宋体"/>
          <w:highlight w:val="none"/>
        </w:rPr>
        <w:t>11.</w:t>
      </w:r>
      <w:r>
        <w:rPr>
          <w:rFonts w:hint="eastAsia" w:ascii="宋体" w:hAnsi="宋体"/>
          <w:highlight w:val="none"/>
          <w:lang w:val="en-US" w:eastAsia="zh-CN"/>
        </w:rPr>
        <w:t>3</w:t>
      </w:r>
      <w:r>
        <w:rPr>
          <w:rFonts w:hint="eastAsia" w:ascii="宋体" w:hAnsi="宋体"/>
          <w:highlight w:val="none"/>
        </w:rPr>
        <w:t>供应商须如实响应招标文件要求，在投标文件中如实提供其服务方案。供应商不得复制粘贴招标文件中的商务及服务要求作为其投标文件的响应情况，否则，评标委员会有权作出不利于供应商的认定。</w:t>
      </w:r>
    </w:p>
    <w:p w14:paraId="293FAF46">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11.</w:t>
      </w:r>
      <w:r>
        <w:rPr>
          <w:rFonts w:hint="eastAsia" w:ascii="宋体" w:hAnsi="宋体"/>
          <w:highlight w:val="none"/>
          <w:lang w:val="en-US" w:eastAsia="zh-CN"/>
        </w:rPr>
        <w:t>4</w:t>
      </w:r>
      <w:r>
        <w:rPr>
          <w:rFonts w:hint="eastAsia" w:ascii="宋体" w:hAnsi="宋体"/>
          <w:highlight w:val="none"/>
        </w:rPr>
        <w:t>供应商提供的支持资料和已印刷的文献（如有关服务的技术部分）可以用另一种语言，但相应内容应附有中文翻译本或中外文对照，在解释投标文件时以中文翻译本为准。若供应商的中文翻译本与外文版明显不符的，则评标委员会有权作出不利于供应商的认定。</w:t>
      </w:r>
    </w:p>
    <w:p w14:paraId="0414DD77">
      <w:pPr>
        <w:pStyle w:val="30"/>
        <w:pageBreakBefore w:val="0"/>
        <w:kinsoku/>
        <w:wordWrap/>
        <w:overflowPunct/>
        <w:topLinePunct w:val="0"/>
        <w:bidi w:val="0"/>
        <w:spacing w:after="0" w:line="500" w:lineRule="exact"/>
        <w:ind w:firstLine="571" w:firstLineChars="238"/>
        <w:textAlignment w:val="auto"/>
        <w:rPr>
          <w:rFonts w:ascii="宋体" w:hAnsi="宋体"/>
          <w:dstrike/>
          <w:highlight w:val="none"/>
        </w:rPr>
      </w:pPr>
      <w:r>
        <w:rPr>
          <w:rFonts w:ascii="宋体" w:hAnsi="宋体"/>
          <w:highlight w:val="none"/>
        </w:rPr>
        <w:t>11.</w:t>
      </w:r>
      <w:r>
        <w:rPr>
          <w:rFonts w:hint="eastAsia" w:ascii="宋体" w:hAnsi="宋体"/>
          <w:highlight w:val="none"/>
          <w:lang w:val="en-US" w:eastAsia="zh-CN"/>
        </w:rPr>
        <w:t>5</w:t>
      </w:r>
      <w:r>
        <w:rPr>
          <w:rFonts w:hint="eastAsia" w:ascii="宋体" w:hAnsi="宋体"/>
          <w:highlight w:val="none"/>
        </w:rPr>
        <w:t>供应商须注意：为合理节约政府采购评审成本，提倡诚实信用的投标行为，特别要求供应商应本着诚信精神，在本次投标文件的偏离表中，均以审慎的态度明确、清楚地披露各项偏离。若供应商对某一事项是否存在或是否属于偏离不能确定，亦必须在偏离表中清楚地表明该偏离事项，并可以注明不能确定的字样。</w:t>
      </w:r>
    </w:p>
    <w:p w14:paraId="5B629D34">
      <w:pPr>
        <w:pStyle w:val="30"/>
        <w:pageBreakBefore w:val="0"/>
        <w:numPr>
          <w:ilvl w:val="0"/>
          <w:numId w:val="3"/>
        </w:numPr>
        <w:kinsoku/>
        <w:wordWrap/>
        <w:overflowPunct/>
        <w:topLinePunct w:val="0"/>
        <w:bidi w:val="0"/>
        <w:spacing w:after="0" w:line="500" w:lineRule="exact"/>
        <w:ind w:firstLine="573" w:firstLineChars="238"/>
        <w:textAlignment w:val="auto"/>
        <w:rPr>
          <w:rFonts w:hint="eastAsia" w:ascii="宋体" w:hAnsi="宋体"/>
          <w:b/>
          <w:bCs/>
          <w:highlight w:val="none"/>
        </w:rPr>
      </w:pPr>
      <w:r>
        <w:rPr>
          <w:rFonts w:ascii="宋体" w:hAnsi="宋体"/>
          <w:b/>
          <w:bCs/>
          <w:highlight w:val="none"/>
        </w:rPr>
        <w:t xml:space="preserve"> </w:t>
      </w:r>
      <w:r>
        <w:rPr>
          <w:rFonts w:hint="eastAsia" w:ascii="宋体" w:hAnsi="宋体"/>
          <w:b/>
          <w:bCs/>
          <w:highlight w:val="none"/>
        </w:rPr>
        <w:t>投标文件制作</w:t>
      </w:r>
    </w:p>
    <w:p w14:paraId="491302D0">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hint="eastAsia" w:ascii="宋体" w:hAnsi="宋体"/>
          <w:highlight w:val="none"/>
        </w:rPr>
        <w:t>详见供应商须知前附表。</w:t>
      </w:r>
    </w:p>
    <w:p w14:paraId="0A405BC3">
      <w:pPr>
        <w:pStyle w:val="30"/>
        <w:pageBreakBefore w:val="0"/>
        <w:kinsoku/>
        <w:wordWrap/>
        <w:overflowPunct/>
        <w:topLinePunct w:val="0"/>
        <w:bidi w:val="0"/>
        <w:spacing w:after="0" w:line="500" w:lineRule="exact"/>
        <w:ind w:left="1146" w:leftChars="273" w:hanging="573" w:hangingChars="238"/>
        <w:textAlignment w:val="auto"/>
        <w:rPr>
          <w:rFonts w:ascii="宋体" w:hAnsi="宋体"/>
          <w:b/>
          <w:bCs/>
          <w:highlight w:val="none"/>
        </w:rPr>
      </w:pPr>
      <w:r>
        <w:rPr>
          <w:rFonts w:ascii="宋体" w:hAnsi="宋体"/>
          <w:b/>
          <w:bCs/>
          <w:highlight w:val="none"/>
        </w:rPr>
        <w:t xml:space="preserve">13.  </w:t>
      </w:r>
      <w:r>
        <w:rPr>
          <w:rFonts w:hint="eastAsia" w:ascii="宋体" w:hAnsi="宋体"/>
          <w:b/>
          <w:bCs/>
          <w:highlight w:val="none"/>
        </w:rPr>
        <w:t>投标文件签署</w:t>
      </w:r>
    </w:p>
    <w:p w14:paraId="10B99DE6">
      <w:pPr>
        <w:pStyle w:val="30"/>
        <w:pageBreakBefore w:val="0"/>
        <w:kinsoku/>
        <w:wordWrap/>
        <w:overflowPunct/>
        <w:topLinePunct w:val="0"/>
        <w:bidi w:val="0"/>
        <w:spacing w:after="0" w:line="500" w:lineRule="exact"/>
        <w:ind w:firstLine="573" w:firstLineChars="238"/>
        <w:textAlignment w:val="auto"/>
        <w:rPr>
          <w:rFonts w:ascii="宋体" w:hAnsi="宋体"/>
          <w:b/>
          <w:highlight w:val="none"/>
        </w:rPr>
      </w:pPr>
      <w:r>
        <w:rPr>
          <w:rFonts w:hint="eastAsia" w:ascii="宋体" w:hAnsi="宋体"/>
          <w:b/>
          <w:highlight w:val="none"/>
        </w:rPr>
        <w:t>★投标文件应加盖投标单位公章（不得使用其他形式如带有“专用章”等字样的印章）并经法定代表人或其委托代理人签署（签字或加盖人名章），由委托代理人签字的投标文件中须附授权委托书。未按招标文件要求签署及盖章的投标文件无效。</w:t>
      </w:r>
    </w:p>
    <w:p w14:paraId="701C4AB6">
      <w:pPr>
        <w:pStyle w:val="30"/>
        <w:pageBreakBefore w:val="0"/>
        <w:kinsoku/>
        <w:wordWrap/>
        <w:overflowPunct/>
        <w:topLinePunct w:val="0"/>
        <w:bidi w:val="0"/>
        <w:spacing w:after="0" w:line="500" w:lineRule="exact"/>
        <w:ind w:left="1146" w:leftChars="273" w:hanging="573" w:hangingChars="238"/>
        <w:textAlignment w:val="auto"/>
        <w:rPr>
          <w:rFonts w:hint="eastAsia" w:ascii="宋体" w:hAnsi="宋体"/>
          <w:b/>
          <w:bCs/>
          <w:highlight w:val="none"/>
        </w:rPr>
      </w:pPr>
      <w:r>
        <w:rPr>
          <w:rFonts w:ascii="宋体" w:hAnsi="宋体"/>
          <w:b/>
          <w:bCs/>
          <w:highlight w:val="none"/>
        </w:rPr>
        <w:t xml:space="preserve">14.  </w:t>
      </w:r>
      <w:r>
        <w:rPr>
          <w:rFonts w:hint="eastAsia" w:ascii="宋体" w:hAnsi="宋体"/>
          <w:b/>
          <w:bCs/>
          <w:highlight w:val="none"/>
        </w:rPr>
        <w:t>投标文件上传</w:t>
      </w:r>
    </w:p>
    <w:p w14:paraId="2B21177E">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hint="eastAsia" w:ascii="宋体" w:hAnsi="宋体"/>
          <w:highlight w:val="none"/>
        </w:rPr>
        <w:t>详见供应商须知前附表。</w:t>
      </w:r>
    </w:p>
    <w:p w14:paraId="79CBB32E">
      <w:pPr>
        <w:pStyle w:val="30"/>
        <w:pageBreakBefore w:val="0"/>
        <w:kinsoku/>
        <w:wordWrap/>
        <w:overflowPunct/>
        <w:topLinePunct w:val="0"/>
        <w:bidi w:val="0"/>
        <w:spacing w:after="0" w:line="500" w:lineRule="exact"/>
        <w:ind w:left="1146" w:leftChars="273" w:hanging="573" w:hangingChars="238"/>
        <w:textAlignment w:val="auto"/>
        <w:rPr>
          <w:rFonts w:ascii="宋体" w:hAnsi="宋体"/>
          <w:b/>
          <w:bCs/>
          <w:highlight w:val="none"/>
        </w:rPr>
      </w:pPr>
      <w:r>
        <w:rPr>
          <w:rFonts w:ascii="宋体" w:hAnsi="宋体"/>
          <w:b/>
          <w:bCs/>
          <w:highlight w:val="none"/>
        </w:rPr>
        <w:t xml:space="preserve">15.  </w:t>
      </w:r>
      <w:r>
        <w:rPr>
          <w:rFonts w:hint="eastAsia" w:ascii="宋体" w:hAnsi="宋体"/>
          <w:b/>
          <w:bCs/>
          <w:highlight w:val="none"/>
        </w:rPr>
        <w:t>投标保证金</w:t>
      </w:r>
    </w:p>
    <w:p w14:paraId="7DEBE013">
      <w:pPr>
        <w:pStyle w:val="30"/>
        <w:pageBreakBefore w:val="0"/>
        <w:kinsoku/>
        <w:wordWrap/>
        <w:overflowPunct/>
        <w:topLinePunct w:val="0"/>
        <w:bidi w:val="0"/>
        <w:spacing w:after="0" w:line="500" w:lineRule="exact"/>
        <w:ind w:firstLine="571" w:firstLineChars="238"/>
        <w:textAlignment w:val="auto"/>
        <w:rPr>
          <w:rFonts w:hint="eastAsia" w:ascii="宋体" w:hAnsi="宋体"/>
          <w:highlight w:val="none"/>
          <w:lang w:val="en-US" w:eastAsia="zh-CN"/>
        </w:rPr>
      </w:pPr>
      <w:r>
        <w:rPr>
          <w:rFonts w:hint="eastAsia" w:ascii="宋体" w:hAnsi="宋体"/>
          <w:highlight w:val="none"/>
          <w:lang w:val="en-US" w:eastAsia="zh-CN"/>
        </w:rPr>
        <w:t>无。</w:t>
      </w:r>
    </w:p>
    <w:p w14:paraId="5E294AB0">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15.2</w:t>
      </w:r>
      <w:r>
        <w:rPr>
          <w:rFonts w:hint="eastAsia" w:ascii="宋体" w:hAnsi="宋体"/>
          <w:b/>
          <w:highlight w:val="none"/>
        </w:rPr>
        <w:t>如供应商有下列情况，投标保证金不予退还，</w:t>
      </w:r>
      <w:r>
        <w:rPr>
          <w:rFonts w:hint="eastAsia" w:ascii="宋体" w:hAnsi="宋体" w:cs="宋体"/>
          <w:b/>
          <w:szCs w:val="24"/>
          <w:highlight w:val="none"/>
        </w:rPr>
        <w:t>给采购代理机构及采购人造成损失的，应予以赔偿</w:t>
      </w:r>
      <w:r>
        <w:rPr>
          <w:rFonts w:hint="eastAsia" w:ascii="宋体" w:hAnsi="宋体"/>
          <w:highlight w:val="none"/>
        </w:rPr>
        <w:t>：</w:t>
      </w:r>
    </w:p>
    <w:p w14:paraId="76A8F42A">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1</w:t>
      </w:r>
      <w:r>
        <w:rPr>
          <w:rFonts w:hint="eastAsia" w:ascii="宋体" w:hAnsi="宋体"/>
          <w:highlight w:val="none"/>
        </w:rPr>
        <w:t>）开标后，供应商在投标有效期内撤回投标的；</w:t>
      </w:r>
    </w:p>
    <w:p w14:paraId="0FBCC902">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2</w:t>
      </w:r>
      <w:r>
        <w:rPr>
          <w:rFonts w:hint="eastAsia" w:ascii="宋体" w:hAnsi="宋体"/>
          <w:highlight w:val="none"/>
        </w:rPr>
        <w:t>）采取不正当手段诋毁、排挤其他供应商的；</w:t>
      </w:r>
    </w:p>
    <w:p w14:paraId="0165CDB7">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3</w:t>
      </w:r>
      <w:r>
        <w:rPr>
          <w:rFonts w:hint="eastAsia" w:ascii="宋体" w:hAnsi="宋体"/>
          <w:highlight w:val="none"/>
        </w:rPr>
        <w:t>）与采购人、其他供应商或者代理机构恶意串通的；</w:t>
      </w:r>
    </w:p>
    <w:p w14:paraId="0B92E173">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4</w:t>
      </w:r>
      <w:r>
        <w:rPr>
          <w:rFonts w:hint="eastAsia" w:ascii="宋体" w:hAnsi="宋体"/>
          <w:highlight w:val="none"/>
        </w:rPr>
        <w:t>）向采购人、代理机构行贿或者提供其他不正当利益的；</w:t>
      </w:r>
    </w:p>
    <w:p w14:paraId="0EBF3509">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5</w:t>
      </w:r>
      <w:r>
        <w:rPr>
          <w:rFonts w:hint="eastAsia" w:ascii="宋体" w:hAnsi="宋体"/>
          <w:highlight w:val="none"/>
        </w:rPr>
        <w:t>）供应商在投标文件中提供虚假材料的；</w:t>
      </w:r>
    </w:p>
    <w:p w14:paraId="22238CEE">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6</w:t>
      </w:r>
      <w:r>
        <w:rPr>
          <w:rFonts w:hint="eastAsia" w:ascii="宋体" w:hAnsi="宋体"/>
          <w:highlight w:val="none"/>
        </w:rPr>
        <w:t>）中标人无正当理由未能按规定与采购人签订合同的；</w:t>
      </w:r>
    </w:p>
    <w:p w14:paraId="6323665A">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7</w:t>
      </w:r>
      <w:r>
        <w:rPr>
          <w:rFonts w:hint="eastAsia" w:ascii="宋体" w:hAnsi="宋体"/>
          <w:highlight w:val="none"/>
        </w:rPr>
        <w:t>）法律法规和招标文件规定的其他情形。</w:t>
      </w:r>
    </w:p>
    <w:p w14:paraId="7F596D03">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15.3</w:t>
      </w:r>
      <w:r>
        <w:rPr>
          <w:rFonts w:hint="eastAsia" w:ascii="宋体" w:hAnsi="宋体"/>
          <w:highlight w:val="none"/>
        </w:rPr>
        <w:t>保证金的退还：</w:t>
      </w:r>
    </w:p>
    <w:p w14:paraId="3107438E">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1</w:t>
      </w:r>
      <w:r>
        <w:rPr>
          <w:rFonts w:hint="eastAsia" w:ascii="宋体" w:hAnsi="宋体"/>
          <w:highlight w:val="none"/>
        </w:rPr>
        <w:t>）未中标人的投标保证金在中标通知书发出后</w:t>
      </w:r>
      <w:r>
        <w:rPr>
          <w:rFonts w:ascii="宋体" w:hAnsi="宋体"/>
          <w:highlight w:val="none"/>
        </w:rPr>
        <w:t>5</w:t>
      </w:r>
      <w:r>
        <w:rPr>
          <w:rFonts w:hint="eastAsia" w:ascii="宋体" w:hAnsi="宋体"/>
          <w:highlight w:val="none"/>
        </w:rPr>
        <w:t>个工作日内退还；</w:t>
      </w:r>
    </w:p>
    <w:p w14:paraId="6442720B">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2</w:t>
      </w:r>
      <w:r>
        <w:rPr>
          <w:rFonts w:hint="eastAsia" w:ascii="宋体" w:hAnsi="宋体"/>
          <w:highlight w:val="none"/>
        </w:rPr>
        <w:t>）中标人的投标保证金在签订合同后</w:t>
      </w:r>
      <w:r>
        <w:rPr>
          <w:rFonts w:ascii="宋体" w:hAnsi="宋体"/>
          <w:highlight w:val="none"/>
        </w:rPr>
        <w:t>5</w:t>
      </w:r>
      <w:r>
        <w:rPr>
          <w:rFonts w:hint="eastAsia" w:ascii="宋体" w:hAnsi="宋体"/>
          <w:highlight w:val="none"/>
        </w:rPr>
        <w:t>个工作日内予以退还。</w:t>
      </w:r>
    </w:p>
    <w:p w14:paraId="6B5361F4">
      <w:pPr>
        <w:pStyle w:val="30"/>
        <w:pageBreakBefore w:val="0"/>
        <w:kinsoku/>
        <w:wordWrap/>
        <w:overflowPunct/>
        <w:topLinePunct w:val="0"/>
        <w:bidi w:val="0"/>
        <w:spacing w:after="0" w:line="500" w:lineRule="exact"/>
        <w:ind w:left="1146" w:leftChars="273" w:hanging="573" w:hangingChars="238"/>
        <w:textAlignment w:val="auto"/>
        <w:rPr>
          <w:rFonts w:ascii="宋体" w:hAnsi="宋体"/>
          <w:b/>
          <w:bCs/>
          <w:highlight w:val="none"/>
        </w:rPr>
      </w:pPr>
      <w:r>
        <w:rPr>
          <w:rFonts w:ascii="宋体" w:hAnsi="宋体"/>
          <w:b/>
          <w:bCs/>
          <w:highlight w:val="none"/>
        </w:rPr>
        <w:t xml:space="preserve">16.  </w:t>
      </w:r>
      <w:r>
        <w:rPr>
          <w:rFonts w:hint="eastAsia" w:ascii="宋体" w:hAnsi="宋体"/>
          <w:b/>
          <w:bCs/>
          <w:highlight w:val="none"/>
        </w:rPr>
        <w:t>投标有效期</w:t>
      </w:r>
    </w:p>
    <w:p w14:paraId="24B5EA51">
      <w:pPr>
        <w:pStyle w:val="30"/>
        <w:pageBreakBefore w:val="0"/>
        <w:kinsoku/>
        <w:wordWrap/>
        <w:overflowPunct/>
        <w:topLinePunct w:val="0"/>
        <w:bidi w:val="0"/>
        <w:spacing w:after="0" w:line="500" w:lineRule="exact"/>
        <w:ind w:firstLine="573" w:firstLineChars="238"/>
        <w:textAlignment w:val="auto"/>
        <w:rPr>
          <w:rFonts w:ascii="宋体" w:hAnsi="宋体"/>
          <w:b/>
          <w:highlight w:val="none"/>
        </w:rPr>
      </w:pPr>
      <w:r>
        <w:rPr>
          <w:rFonts w:hint="eastAsia" w:ascii="宋体" w:hAnsi="宋体"/>
          <w:b/>
          <w:highlight w:val="none"/>
        </w:rPr>
        <w:t>★</w:t>
      </w:r>
      <w:r>
        <w:rPr>
          <w:rFonts w:ascii="宋体" w:hAnsi="宋体"/>
          <w:b/>
          <w:snapToGrid w:val="0"/>
          <w:highlight w:val="none"/>
        </w:rPr>
        <w:t xml:space="preserve">16.1 </w:t>
      </w:r>
      <w:r>
        <w:rPr>
          <w:rFonts w:hint="eastAsia" w:ascii="宋体" w:hAnsi="宋体"/>
          <w:b/>
          <w:snapToGrid w:val="0"/>
          <w:highlight w:val="none"/>
        </w:rPr>
        <w:t>本项目投标有效期见供应商须知前附表。投标函的有效期比本须知规定的有效期短的，将被视为非实质性响应，采购人有权拒绝</w:t>
      </w:r>
      <w:r>
        <w:rPr>
          <w:rFonts w:hint="eastAsia" w:ascii="宋体" w:hAnsi="宋体"/>
          <w:b/>
          <w:highlight w:val="none"/>
        </w:rPr>
        <w:t>。</w:t>
      </w:r>
    </w:p>
    <w:p w14:paraId="1BFA5721">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 xml:space="preserve">16.2 </w:t>
      </w:r>
      <w:r>
        <w:rPr>
          <w:rFonts w:hint="eastAsia" w:ascii="宋体" w:hAnsi="宋体"/>
          <w:highlight w:val="none"/>
        </w:rPr>
        <w:t>特殊情况下，在投标有效期满之前，代理机构可以以书面形式要求供应商同意延长投标有效期。供应商可以以书面形式拒绝或接受上述要求。拒绝延长投标有效期的供应商有权收回投标保证金；同意延长投标有效期的供应商应当相应延长其投标保证金的有效期，但不得修改投标文件的实质性内容。</w:t>
      </w:r>
    </w:p>
    <w:p w14:paraId="7E17A8C9">
      <w:pPr>
        <w:pStyle w:val="3"/>
        <w:pageBreakBefore w:val="0"/>
        <w:kinsoku/>
        <w:wordWrap/>
        <w:overflowPunct/>
        <w:topLinePunct w:val="0"/>
        <w:bidi w:val="0"/>
        <w:spacing w:before="120" w:after="120" w:line="500" w:lineRule="exact"/>
        <w:ind w:firstLine="516" w:firstLineChars="214"/>
        <w:textAlignment w:val="auto"/>
        <w:rPr>
          <w:rFonts w:ascii="宋体" w:hAnsi="宋体" w:eastAsia="宋体"/>
          <w:sz w:val="24"/>
          <w:szCs w:val="24"/>
          <w:highlight w:val="none"/>
        </w:rPr>
      </w:pPr>
      <w:bookmarkStart w:id="75" w:name="_Toc5665"/>
      <w:r>
        <w:rPr>
          <w:rFonts w:hint="eastAsia" w:ascii="宋体" w:hAnsi="宋体" w:eastAsia="宋体"/>
          <w:sz w:val="24"/>
          <w:szCs w:val="24"/>
          <w:highlight w:val="none"/>
        </w:rPr>
        <w:t>四、投标文件递交</w:t>
      </w:r>
      <w:bookmarkEnd w:id="75"/>
    </w:p>
    <w:p w14:paraId="3BF8F60A">
      <w:pPr>
        <w:pStyle w:val="30"/>
        <w:pageBreakBefore w:val="0"/>
        <w:kinsoku/>
        <w:wordWrap/>
        <w:overflowPunct/>
        <w:topLinePunct w:val="0"/>
        <w:bidi w:val="0"/>
        <w:spacing w:after="0" w:line="500" w:lineRule="exact"/>
        <w:ind w:left="1146" w:leftChars="273" w:hanging="573" w:hangingChars="238"/>
        <w:textAlignment w:val="auto"/>
        <w:rPr>
          <w:rFonts w:ascii="宋体" w:hAnsi="宋体"/>
          <w:b/>
          <w:bCs/>
          <w:highlight w:val="none"/>
        </w:rPr>
      </w:pPr>
      <w:r>
        <w:rPr>
          <w:rFonts w:ascii="宋体" w:hAnsi="宋体"/>
          <w:b/>
          <w:bCs/>
          <w:highlight w:val="none"/>
        </w:rPr>
        <w:t xml:space="preserve">17.  </w:t>
      </w:r>
      <w:r>
        <w:rPr>
          <w:rFonts w:hint="eastAsia" w:ascii="宋体" w:hAnsi="宋体"/>
          <w:b/>
          <w:bCs/>
          <w:highlight w:val="none"/>
        </w:rPr>
        <w:t>投标文件递交时间和地点</w:t>
      </w:r>
    </w:p>
    <w:p w14:paraId="6AAFE881">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 xml:space="preserve">17.1 </w:t>
      </w:r>
      <w:r>
        <w:rPr>
          <w:rFonts w:hint="eastAsia" w:ascii="宋体" w:hAnsi="宋体"/>
          <w:highlight w:val="none"/>
        </w:rPr>
        <w:t>投标文件递交截止时间及递交地点详见供应商须知前附表。</w:t>
      </w:r>
    </w:p>
    <w:p w14:paraId="0465B8F3">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 xml:space="preserve">17.2 </w:t>
      </w:r>
      <w:r>
        <w:rPr>
          <w:rFonts w:hint="eastAsia" w:ascii="宋体" w:hAnsi="宋体"/>
          <w:highlight w:val="none"/>
        </w:rPr>
        <w:t>供应商代表必须在投标截止时间前将投标文件送达指定地点。如因招标文件的修改推迟投标截止日期的，则按代理机构另行通知规定的时间递交。</w:t>
      </w:r>
    </w:p>
    <w:p w14:paraId="388D9499">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 xml:space="preserve">17.3 </w:t>
      </w:r>
      <w:r>
        <w:rPr>
          <w:rFonts w:hint="eastAsia" w:ascii="宋体" w:hAnsi="宋体"/>
          <w:highlight w:val="none"/>
        </w:rPr>
        <w:t>代理机构不接收投标截止时间后送达的投标文件。</w:t>
      </w:r>
    </w:p>
    <w:p w14:paraId="2D7BE69B">
      <w:pPr>
        <w:pStyle w:val="30"/>
        <w:pageBreakBefore w:val="0"/>
        <w:kinsoku/>
        <w:wordWrap/>
        <w:overflowPunct/>
        <w:topLinePunct w:val="0"/>
        <w:bidi w:val="0"/>
        <w:spacing w:after="0" w:line="500" w:lineRule="exact"/>
        <w:ind w:left="1146" w:leftChars="273" w:hanging="573" w:hangingChars="238"/>
        <w:textAlignment w:val="auto"/>
        <w:rPr>
          <w:rFonts w:ascii="宋体" w:hAnsi="宋体"/>
          <w:b/>
          <w:bCs/>
          <w:highlight w:val="none"/>
        </w:rPr>
      </w:pPr>
      <w:r>
        <w:rPr>
          <w:rFonts w:ascii="宋体" w:hAnsi="宋体"/>
          <w:b/>
          <w:bCs/>
          <w:highlight w:val="none"/>
        </w:rPr>
        <w:t xml:space="preserve">18.  </w:t>
      </w:r>
      <w:r>
        <w:rPr>
          <w:rFonts w:hint="eastAsia" w:ascii="宋体" w:hAnsi="宋体"/>
          <w:b/>
          <w:bCs/>
          <w:highlight w:val="none"/>
        </w:rPr>
        <w:t>投标文件签收</w:t>
      </w:r>
    </w:p>
    <w:p w14:paraId="0E215BA7">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 xml:space="preserve">18.1 </w:t>
      </w:r>
      <w:r>
        <w:rPr>
          <w:rFonts w:hint="eastAsia" w:ascii="宋体" w:hAnsi="宋体"/>
          <w:highlight w:val="none"/>
        </w:rPr>
        <w:t>本项目只接受书面形式的投标，其他形式的投标不予接收。</w:t>
      </w:r>
    </w:p>
    <w:p w14:paraId="525FDAB4">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 xml:space="preserve">18.2 </w:t>
      </w:r>
      <w:r>
        <w:rPr>
          <w:rFonts w:hint="eastAsia" w:ascii="宋体" w:hAnsi="宋体"/>
          <w:highlight w:val="none"/>
        </w:rPr>
        <w:t>投标截止时间后对供应商已提交的投标文件不予退还。</w:t>
      </w:r>
    </w:p>
    <w:p w14:paraId="1B3959FE">
      <w:pPr>
        <w:pStyle w:val="30"/>
        <w:pageBreakBefore w:val="0"/>
        <w:kinsoku/>
        <w:wordWrap/>
        <w:overflowPunct/>
        <w:topLinePunct w:val="0"/>
        <w:bidi w:val="0"/>
        <w:spacing w:after="0" w:line="500" w:lineRule="exact"/>
        <w:ind w:left="1146" w:leftChars="273" w:hanging="573" w:hangingChars="238"/>
        <w:textAlignment w:val="auto"/>
        <w:rPr>
          <w:rFonts w:ascii="宋体" w:hAnsi="宋体"/>
          <w:b/>
          <w:bCs/>
          <w:highlight w:val="none"/>
        </w:rPr>
      </w:pPr>
      <w:r>
        <w:rPr>
          <w:rFonts w:ascii="宋体" w:hAnsi="宋体"/>
          <w:b/>
          <w:bCs/>
          <w:highlight w:val="none"/>
        </w:rPr>
        <w:t xml:space="preserve">19.  </w:t>
      </w:r>
      <w:r>
        <w:rPr>
          <w:rFonts w:hint="eastAsia" w:ascii="宋体" w:hAnsi="宋体"/>
          <w:b/>
          <w:bCs/>
          <w:highlight w:val="none"/>
        </w:rPr>
        <w:t>投标文件修改与撤回</w:t>
      </w:r>
    </w:p>
    <w:p w14:paraId="5A42458F">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 xml:space="preserve">19.1 </w:t>
      </w:r>
      <w:r>
        <w:rPr>
          <w:rFonts w:hint="eastAsia" w:ascii="宋体" w:hAnsi="宋体"/>
          <w:highlight w:val="none"/>
        </w:rPr>
        <w:t>供应商在招标文件要求提交投标文件的截止时间前，可以修改或者撤回已提交的投标文件，并书面形式通知代理机构。</w:t>
      </w:r>
    </w:p>
    <w:p w14:paraId="3652C3F9">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 xml:space="preserve">19.2 </w:t>
      </w:r>
      <w:r>
        <w:rPr>
          <w:rFonts w:hint="eastAsia" w:ascii="宋体" w:hAnsi="宋体"/>
          <w:highlight w:val="none"/>
        </w:rPr>
        <w:t>任何修改内容必须由供应商的法定代表人或其委托代理人签字，不得涂抹。经法定代表人或其委托代理人正式签署的修改文件组成投标文件的一部分。</w:t>
      </w:r>
    </w:p>
    <w:p w14:paraId="7D3F7C72">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 xml:space="preserve">19.3 </w:t>
      </w:r>
      <w:r>
        <w:rPr>
          <w:rFonts w:hint="eastAsia" w:ascii="宋体" w:hAnsi="宋体"/>
          <w:highlight w:val="none"/>
        </w:rPr>
        <w:t>投标截止时间后不允许对投标文件做实质性修改。</w:t>
      </w:r>
    </w:p>
    <w:p w14:paraId="242956A1">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19.4</w:t>
      </w:r>
      <w:r>
        <w:rPr>
          <w:rFonts w:hint="eastAsia" w:ascii="宋体" w:hAnsi="宋体"/>
          <w:highlight w:val="none"/>
        </w:rPr>
        <w:t>投标有效期内不得撤回投标，否则其投标保证金不予退还。</w:t>
      </w:r>
    </w:p>
    <w:p w14:paraId="49231BB7">
      <w:pPr>
        <w:pStyle w:val="3"/>
        <w:pageBreakBefore w:val="0"/>
        <w:kinsoku/>
        <w:wordWrap/>
        <w:overflowPunct/>
        <w:topLinePunct w:val="0"/>
        <w:bidi w:val="0"/>
        <w:spacing w:before="120" w:after="120" w:line="500" w:lineRule="exact"/>
        <w:ind w:firstLine="516" w:firstLineChars="214"/>
        <w:textAlignment w:val="auto"/>
        <w:rPr>
          <w:rFonts w:ascii="宋体" w:hAnsi="宋体" w:eastAsia="宋体"/>
          <w:sz w:val="24"/>
          <w:szCs w:val="24"/>
          <w:highlight w:val="none"/>
        </w:rPr>
      </w:pPr>
      <w:bookmarkStart w:id="76" w:name="_Toc6966"/>
      <w:r>
        <w:rPr>
          <w:rFonts w:hint="eastAsia" w:ascii="宋体" w:hAnsi="宋体" w:eastAsia="宋体"/>
          <w:sz w:val="24"/>
          <w:szCs w:val="24"/>
          <w:highlight w:val="none"/>
        </w:rPr>
        <w:t>五、开标与评标</w:t>
      </w:r>
      <w:bookmarkEnd w:id="76"/>
    </w:p>
    <w:p w14:paraId="1CCEB124">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hint="eastAsia" w:ascii="宋体" w:hAnsi="宋体"/>
          <w:highlight w:val="none"/>
        </w:rPr>
        <w:t>本次招标的开标、评标由采购人委托的采购代理机构依法组织实施。</w:t>
      </w:r>
    </w:p>
    <w:p w14:paraId="374602ED">
      <w:pPr>
        <w:pStyle w:val="30"/>
        <w:pageBreakBefore w:val="0"/>
        <w:tabs>
          <w:tab w:val="left" w:pos="955"/>
        </w:tabs>
        <w:kinsoku/>
        <w:wordWrap/>
        <w:overflowPunct/>
        <w:topLinePunct w:val="0"/>
        <w:bidi w:val="0"/>
        <w:spacing w:after="0" w:line="500" w:lineRule="exact"/>
        <w:ind w:left="1146" w:leftChars="273" w:hanging="573" w:hangingChars="238"/>
        <w:textAlignment w:val="auto"/>
        <w:rPr>
          <w:rFonts w:ascii="宋体" w:hAnsi="宋体"/>
          <w:b/>
          <w:highlight w:val="none"/>
        </w:rPr>
      </w:pPr>
      <w:r>
        <w:rPr>
          <w:rFonts w:ascii="宋体" w:hAnsi="宋体"/>
          <w:b/>
          <w:highlight w:val="none"/>
        </w:rPr>
        <w:t xml:space="preserve">20.  </w:t>
      </w:r>
      <w:r>
        <w:rPr>
          <w:rFonts w:hint="eastAsia" w:ascii="宋体" w:hAnsi="宋体"/>
          <w:b/>
          <w:highlight w:val="none"/>
        </w:rPr>
        <w:t>开标</w:t>
      </w:r>
      <w:bookmarkEnd w:id="72"/>
      <w:bookmarkEnd w:id="73"/>
      <w:bookmarkEnd w:id="74"/>
    </w:p>
    <w:p w14:paraId="1259F5BD">
      <w:pPr>
        <w:pStyle w:val="30"/>
        <w:pageBreakBefore w:val="0"/>
        <w:kinsoku/>
        <w:wordWrap/>
        <w:overflowPunct/>
        <w:topLinePunct w:val="0"/>
        <w:bidi w:val="0"/>
        <w:spacing w:after="0" w:line="500" w:lineRule="exact"/>
        <w:ind w:firstLine="571" w:firstLineChars="238"/>
        <w:textAlignment w:val="auto"/>
        <w:rPr>
          <w:rFonts w:ascii="宋体" w:hAnsi="宋体"/>
          <w:highlight w:val="none"/>
        </w:rPr>
      </w:pPr>
      <w:r>
        <w:rPr>
          <w:rFonts w:ascii="宋体" w:hAnsi="宋体"/>
          <w:highlight w:val="none"/>
        </w:rPr>
        <w:t xml:space="preserve">20.1 </w:t>
      </w:r>
      <w:r>
        <w:rPr>
          <w:rFonts w:hint="eastAsia" w:ascii="宋体" w:hAnsi="宋体"/>
          <w:highlight w:val="none"/>
        </w:rPr>
        <w:t>本项目开标时间和地点见供应商须知前附表。开标会议由代理机构组织并主持。参加供应商代表应</w:t>
      </w:r>
      <w:r>
        <w:rPr>
          <w:rFonts w:hint="eastAsia" w:ascii="宋体" w:hAnsi="宋体"/>
          <w:highlight w:val="none"/>
          <w:lang w:val="en-US" w:eastAsia="zh-CN"/>
        </w:rPr>
        <w:t>进行</w:t>
      </w:r>
      <w:r>
        <w:rPr>
          <w:rFonts w:hint="eastAsia" w:ascii="宋体" w:hAnsi="宋体"/>
          <w:highlight w:val="none"/>
        </w:rPr>
        <w:t>签</w:t>
      </w:r>
      <w:r>
        <w:rPr>
          <w:rFonts w:hint="eastAsia" w:ascii="宋体" w:hAnsi="宋体"/>
          <w:highlight w:val="none"/>
          <w:lang w:val="en-US" w:eastAsia="zh-CN"/>
        </w:rPr>
        <w:t>到解密</w:t>
      </w:r>
      <w:r>
        <w:rPr>
          <w:rFonts w:hint="eastAsia" w:ascii="宋体" w:hAnsi="宋体"/>
          <w:highlight w:val="none"/>
        </w:rPr>
        <w:t>，以证明其出席开标会议，未出席开标会议的视同为默认开标结果。采购人、供应商授权代理人及有关工作人员参加。</w:t>
      </w:r>
    </w:p>
    <w:p w14:paraId="63ADE0C1">
      <w:pPr>
        <w:pStyle w:val="30"/>
        <w:pageBreakBefore w:val="0"/>
        <w:kinsoku/>
        <w:wordWrap/>
        <w:overflowPunct/>
        <w:topLinePunct w:val="0"/>
        <w:bidi w:val="0"/>
        <w:spacing w:after="0" w:line="500" w:lineRule="exact"/>
        <w:ind w:firstLine="571" w:firstLineChars="238"/>
        <w:textAlignment w:val="auto"/>
        <w:rPr>
          <w:rFonts w:hint="default" w:ascii="宋体" w:hAnsi="宋体"/>
          <w:highlight w:val="none"/>
          <w:lang w:val="en-US" w:eastAsia="zh-CN"/>
        </w:rPr>
      </w:pPr>
      <w:r>
        <w:rPr>
          <w:rFonts w:ascii="宋体" w:hAnsi="宋体"/>
          <w:highlight w:val="none"/>
        </w:rPr>
        <w:t>20.2</w:t>
      </w:r>
      <w:r>
        <w:rPr>
          <w:rFonts w:hint="eastAsia" w:ascii="宋体" w:hAnsi="宋体"/>
          <w:highlight w:val="none"/>
          <w:lang w:val="en-US" w:eastAsia="zh-CN"/>
        </w:rPr>
        <w:t>到投标截止时间止，系统内签到并解密成功的供应商可在系统内自行查看唱标单。</w:t>
      </w:r>
    </w:p>
    <w:p w14:paraId="4E4CAE71">
      <w:pPr>
        <w:pStyle w:val="30"/>
        <w:pageBreakBefore w:val="0"/>
        <w:tabs>
          <w:tab w:val="left" w:pos="955"/>
        </w:tabs>
        <w:kinsoku/>
        <w:wordWrap/>
        <w:overflowPunct/>
        <w:topLinePunct w:val="0"/>
        <w:bidi w:val="0"/>
        <w:spacing w:after="0" w:line="500" w:lineRule="exact"/>
        <w:ind w:left="1146" w:leftChars="273" w:hanging="573" w:hangingChars="238"/>
        <w:textAlignment w:val="auto"/>
        <w:rPr>
          <w:rFonts w:ascii="宋体" w:hAnsi="宋体"/>
          <w:b/>
          <w:highlight w:val="none"/>
        </w:rPr>
      </w:pPr>
      <w:bookmarkStart w:id="77" w:name="_Toc346306754"/>
      <w:bookmarkStart w:id="78" w:name="_Toc346372901"/>
      <w:bookmarkStart w:id="79" w:name="_Toc352332875"/>
      <w:r>
        <w:rPr>
          <w:rFonts w:ascii="宋体" w:hAnsi="宋体"/>
          <w:b/>
          <w:highlight w:val="none"/>
        </w:rPr>
        <w:t xml:space="preserve">21.  </w:t>
      </w:r>
      <w:r>
        <w:rPr>
          <w:rFonts w:hint="eastAsia" w:ascii="宋体" w:hAnsi="宋体"/>
          <w:b/>
          <w:highlight w:val="none"/>
        </w:rPr>
        <w:t>评标委员会</w:t>
      </w:r>
      <w:bookmarkEnd w:id="77"/>
      <w:bookmarkEnd w:id="78"/>
      <w:bookmarkEnd w:id="79"/>
    </w:p>
    <w:p w14:paraId="631A1102">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hint="eastAsia" w:ascii="宋体" w:hAnsi="宋体"/>
          <w:highlight w:val="none"/>
        </w:rPr>
        <w:t>评标委员会由五人及以上单数组成，其中经济、技术等方面的专家不少于三分之二。评标委员会的组成见供应商须知前附表，评标委员会负责对投标文件进行审查、评审，提出书面评标报告</w:t>
      </w:r>
      <w:r>
        <w:rPr>
          <w:rFonts w:hint="eastAsia" w:ascii="宋体" w:hAnsi="宋体" w:cs="宋体"/>
          <w:szCs w:val="24"/>
          <w:highlight w:val="none"/>
        </w:rPr>
        <w:t>，推荐中标候选人</w:t>
      </w:r>
      <w:r>
        <w:rPr>
          <w:rFonts w:hint="eastAsia" w:ascii="宋体" w:hAnsi="宋体"/>
          <w:highlight w:val="none"/>
        </w:rPr>
        <w:t>。</w:t>
      </w:r>
    </w:p>
    <w:p w14:paraId="1487B280">
      <w:pPr>
        <w:pStyle w:val="30"/>
        <w:pageBreakBefore w:val="0"/>
        <w:tabs>
          <w:tab w:val="left" w:pos="955"/>
        </w:tabs>
        <w:kinsoku/>
        <w:wordWrap/>
        <w:overflowPunct/>
        <w:topLinePunct w:val="0"/>
        <w:bidi w:val="0"/>
        <w:spacing w:after="0" w:line="500" w:lineRule="exact"/>
        <w:ind w:left="1146" w:leftChars="273" w:hanging="573" w:hangingChars="238"/>
        <w:textAlignment w:val="auto"/>
        <w:rPr>
          <w:rFonts w:ascii="宋体" w:hAnsi="宋体"/>
          <w:b/>
          <w:highlight w:val="none"/>
        </w:rPr>
      </w:pPr>
      <w:bookmarkStart w:id="80" w:name="_Toc346306755"/>
      <w:bookmarkStart w:id="81" w:name="_Toc352332876"/>
      <w:bookmarkStart w:id="82" w:name="_Toc346372902"/>
      <w:r>
        <w:rPr>
          <w:rFonts w:ascii="宋体" w:hAnsi="宋体"/>
          <w:b/>
          <w:highlight w:val="none"/>
        </w:rPr>
        <w:t xml:space="preserve">22.  </w:t>
      </w:r>
      <w:r>
        <w:rPr>
          <w:rFonts w:hint="eastAsia" w:ascii="宋体" w:hAnsi="宋体"/>
          <w:b/>
          <w:highlight w:val="none"/>
        </w:rPr>
        <w:t>评标原则</w:t>
      </w:r>
      <w:bookmarkEnd w:id="80"/>
      <w:bookmarkEnd w:id="81"/>
      <w:bookmarkEnd w:id="82"/>
    </w:p>
    <w:p w14:paraId="0D2459C9">
      <w:pPr>
        <w:pStyle w:val="30"/>
        <w:pageBreakBefore w:val="0"/>
        <w:kinsoku/>
        <w:wordWrap/>
        <w:overflowPunct/>
        <w:topLinePunct w:val="0"/>
        <w:bidi w:val="0"/>
        <w:spacing w:after="0" w:line="500" w:lineRule="exact"/>
        <w:ind w:firstLine="600" w:firstLineChars="250"/>
        <w:textAlignment w:val="auto"/>
        <w:rPr>
          <w:rFonts w:ascii="宋体" w:hAnsi="宋体" w:cs="宋体"/>
          <w:highlight w:val="none"/>
        </w:rPr>
      </w:pPr>
      <w:bookmarkStart w:id="83" w:name="_Toc352332877"/>
      <w:bookmarkStart w:id="84" w:name="_Toc346306756"/>
      <w:bookmarkStart w:id="85" w:name="_Toc346372903"/>
      <w:r>
        <w:rPr>
          <w:rFonts w:hint="eastAsia" w:ascii="宋体" w:hAnsi="宋体" w:cs="宋体"/>
          <w:highlight w:val="none"/>
        </w:rPr>
        <w:t>“客观、公正、审慎”为本次评标的基本原则，评标小组将按照这一原则公正、平等地对待各供应商，同时在评标过程中遵守以下原则：</w:t>
      </w:r>
    </w:p>
    <w:p w14:paraId="48484EC9">
      <w:pPr>
        <w:pStyle w:val="30"/>
        <w:pageBreakBefore w:val="0"/>
        <w:kinsoku/>
        <w:wordWrap/>
        <w:overflowPunct/>
        <w:topLinePunct w:val="0"/>
        <w:bidi w:val="0"/>
        <w:spacing w:after="0" w:line="500" w:lineRule="exact"/>
        <w:ind w:firstLine="600" w:firstLineChars="250"/>
        <w:textAlignment w:val="auto"/>
        <w:rPr>
          <w:rFonts w:ascii="宋体" w:hAnsi="宋体" w:cs="宋体"/>
          <w:highlight w:val="none"/>
        </w:rPr>
      </w:pPr>
      <w:r>
        <w:rPr>
          <w:rFonts w:ascii="宋体" w:hAnsi="宋体" w:cs="宋体"/>
          <w:highlight w:val="none"/>
        </w:rPr>
        <w:t xml:space="preserve">22.1 </w:t>
      </w:r>
      <w:r>
        <w:rPr>
          <w:rFonts w:hint="eastAsia" w:ascii="宋体" w:hAnsi="宋体" w:cs="宋体"/>
          <w:highlight w:val="none"/>
        </w:rPr>
        <w:t>客观性原则；评标委员会将严格按照招标文件的规定，对投标文件的评审仅依据投标文件本身，而不依据投标文件以外的任何因素。</w:t>
      </w:r>
    </w:p>
    <w:p w14:paraId="3FDFD013">
      <w:pPr>
        <w:pStyle w:val="30"/>
        <w:pageBreakBefore w:val="0"/>
        <w:kinsoku/>
        <w:wordWrap/>
        <w:overflowPunct/>
        <w:topLinePunct w:val="0"/>
        <w:bidi w:val="0"/>
        <w:spacing w:after="0" w:line="500" w:lineRule="exact"/>
        <w:ind w:firstLine="600" w:firstLineChars="250"/>
        <w:textAlignment w:val="auto"/>
        <w:rPr>
          <w:rFonts w:ascii="宋体" w:hAnsi="宋体" w:cs="宋体"/>
          <w:highlight w:val="none"/>
        </w:rPr>
      </w:pPr>
      <w:r>
        <w:rPr>
          <w:rFonts w:ascii="宋体" w:hAnsi="宋体" w:cs="宋体"/>
          <w:highlight w:val="none"/>
        </w:rPr>
        <w:t xml:space="preserve">22.2 </w:t>
      </w:r>
      <w:r>
        <w:rPr>
          <w:rFonts w:hint="eastAsia" w:ascii="宋体" w:hAnsi="宋体" w:cs="宋体"/>
          <w:highlight w:val="none"/>
        </w:rPr>
        <w:t>公正性原则；评标委员会依据招标文件规定的评标程序、评标方法和评标标准按统一方法、同一标准进行独立评审，并对投标文件的各项指标进行综合分析和比较，而不以单项指标的优劣进行评审。</w:t>
      </w:r>
    </w:p>
    <w:p w14:paraId="7656B37D">
      <w:pPr>
        <w:pStyle w:val="30"/>
        <w:pageBreakBefore w:val="0"/>
        <w:kinsoku/>
        <w:wordWrap/>
        <w:overflowPunct/>
        <w:topLinePunct w:val="0"/>
        <w:bidi w:val="0"/>
        <w:spacing w:after="0" w:line="500" w:lineRule="exact"/>
        <w:ind w:firstLine="600" w:firstLineChars="250"/>
        <w:textAlignment w:val="auto"/>
        <w:rPr>
          <w:rFonts w:ascii="宋体" w:hAnsi="宋体" w:cs="宋体"/>
          <w:highlight w:val="none"/>
        </w:rPr>
      </w:pPr>
      <w:r>
        <w:rPr>
          <w:rFonts w:ascii="宋体" w:hAnsi="宋体" w:cs="宋体"/>
          <w:highlight w:val="none"/>
        </w:rPr>
        <w:t xml:space="preserve">22.3 </w:t>
      </w:r>
      <w:r>
        <w:rPr>
          <w:rFonts w:hint="eastAsia" w:ascii="宋体" w:hAnsi="宋体" w:cs="宋体"/>
          <w:highlight w:val="none"/>
        </w:rPr>
        <w:t>审慎性原则：评标委员会独立对招标文件进行审阅，依据招标文件规定的评审标准审慎评审。评标委员会的评审不受外界任何因素的干扰和影响，评标委员会成员对出具的评标意见承担个人责任。</w:t>
      </w:r>
    </w:p>
    <w:p w14:paraId="2CB373B1">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ascii="宋体" w:hAnsi="宋体" w:cs="宋体"/>
          <w:highlight w:val="none"/>
        </w:rPr>
        <w:t xml:space="preserve">22.4 </w:t>
      </w:r>
      <w:r>
        <w:rPr>
          <w:rFonts w:hint="eastAsia" w:ascii="宋体" w:hAnsi="宋体" w:cs="宋体"/>
          <w:highlight w:val="none"/>
        </w:rPr>
        <w:t>保密性原则：评标委员会及有关工作人员，应当对评标过程及供应商的商业和技术秘密予以保密。</w:t>
      </w:r>
    </w:p>
    <w:p w14:paraId="24B729D9">
      <w:pPr>
        <w:pStyle w:val="30"/>
        <w:pageBreakBefore w:val="0"/>
        <w:tabs>
          <w:tab w:val="left" w:pos="955"/>
        </w:tabs>
        <w:kinsoku/>
        <w:wordWrap/>
        <w:overflowPunct/>
        <w:topLinePunct w:val="0"/>
        <w:bidi w:val="0"/>
        <w:spacing w:after="0" w:line="500" w:lineRule="exact"/>
        <w:ind w:left="1146" w:leftChars="273" w:hanging="573" w:hangingChars="238"/>
        <w:textAlignment w:val="auto"/>
        <w:rPr>
          <w:rFonts w:ascii="宋体" w:hAnsi="宋体"/>
          <w:b/>
          <w:highlight w:val="none"/>
        </w:rPr>
      </w:pPr>
      <w:r>
        <w:rPr>
          <w:rFonts w:ascii="宋体" w:hAnsi="宋体"/>
          <w:b/>
          <w:highlight w:val="none"/>
        </w:rPr>
        <w:t xml:space="preserve">23.  </w:t>
      </w:r>
      <w:r>
        <w:rPr>
          <w:rFonts w:hint="eastAsia" w:ascii="宋体" w:hAnsi="宋体"/>
          <w:b/>
          <w:highlight w:val="none"/>
        </w:rPr>
        <w:t>评标方法</w:t>
      </w:r>
      <w:bookmarkEnd w:id="83"/>
      <w:bookmarkEnd w:id="84"/>
      <w:bookmarkEnd w:id="85"/>
    </w:p>
    <w:p w14:paraId="4CBA9490">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hint="eastAsia" w:ascii="宋体" w:hAnsi="宋体"/>
          <w:highlight w:val="none"/>
        </w:rPr>
        <w:t>本项目评标方法见供应商须知前附表。</w:t>
      </w:r>
    </w:p>
    <w:p w14:paraId="5DDCFE3F">
      <w:pPr>
        <w:pStyle w:val="30"/>
        <w:pageBreakBefore w:val="0"/>
        <w:tabs>
          <w:tab w:val="left" w:pos="955"/>
        </w:tabs>
        <w:kinsoku/>
        <w:wordWrap/>
        <w:overflowPunct/>
        <w:topLinePunct w:val="0"/>
        <w:bidi w:val="0"/>
        <w:spacing w:after="0" w:line="500" w:lineRule="exact"/>
        <w:ind w:left="1146" w:leftChars="273" w:hanging="573" w:hangingChars="238"/>
        <w:textAlignment w:val="auto"/>
        <w:rPr>
          <w:rFonts w:ascii="宋体" w:hAnsi="宋体"/>
          <w:b/>
          <w:highlight w:val="none"/>
        </w:rPr>
      </w:pPr>
      <w:bookmarkStart w:id="86" w:name="_Toc346306757"/>
      <w:bookmarkStart w:id="87" w:name="_Toc352332878"/>
      <w:bookmarkStart w:id="88" w:name="_Toc346372904"/>
      <w:r>
        <w:rPr>
          <w:rFonts w:ascii="宋体" w:hAnsi="宋体"/>
          <w:b/>
          <w:highlight w:val="none"/>
        </w:rPr>
        <w:t xml:space="preserve">24.  </w:t>
      </w:r>
      <w:r>
        <w:rPr>
          <w:rFonts w:hint="eastAsia" w:ascii="宋体" w:hAnsi="宋体"/>
          <w:b/>
          <w:highlight w:val="none"/>
        </w:rPr>
        <w:t>初步评审</w:t>
      </w:r>
      <w:bookmarkEnd w:id="86"/>
      <w:bookmarkEnd w:id="87"/>
      <w:bookmarkEnd w:id="88"/>
    </w:p>
    <w:p w14:paraId="07B56C22">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ascii="宋体" w:hAnsi="宋体"/>
          <w:highlight w:val="none"/>
        </w:rPr>
        <w:t xml:space="preserve">24.1 </w:t>
      </w:r>
      <w:r>
        <w:rPr>
          <w:rFonts w:hint="eastAsia" w:ascii="宋体" w:hAnsi="宋体"/>
          <w:highlight w:val="none"/>
        </w:rPr>
        <w:t>初步评审是对投标文件的资格和符合性进行审查。在评审活动开始前，采购人及招标代理机构宣布政府采购评审工作纪律。</w:t>
      </w:r>
    </w:p>
    <w:p w14:paraId="75B27A32">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hint="eastAsia" w:ascii="宋体" w:hAnsi="宋体" w:cs="宋体"/>
          <w:szCs w:val="24"/>
          <w:highlight w:val="none"/>
        </w:rPr>
        <w:t>24.2公开招标采购项目开标结束后，采购人或者采购代理机构应当依法对供应商的资格进行审查。资格审查后，合格供应商不足</w:t>
      </w:r>
      <w:r>
        <w:rPr>
          <w:rFonts w:ascii="宋体" w:hAnsi="宋体" w:cs="宋体"/>
          <w:szCs w:val="24"/>
          <w:highlight w:val="none"/>
        </w:rPr>
        <w:t>3</w:t>
      </w:r>
      <w:r>
        <w:rPr>
          <w:rFonts w:hint="eastAsia" w:ascii="宋体" w:hAnsi="宋体" w:cs="宋体"/>
          <w:szCs w:val="24"/>
          <w:highlight w:val="none"/>
        </w:rPr>
        <w:t>家的，不得评标。供应商的资格审查应依据招标文件和相关法律、法规进行审查。</w:t>
      </w:r>
    </w:p>
    <w:p w14:paraId="5E85F28B">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ascii="宋体" w:hAnsi="宋体"/>
          <w:highlight w:val="none"/>
        </w:rPr>
        <w:t>24.3</w:t>
      </w:r>
      <w:r>
        <w:rPr>
          <w:rFonts w:hint="eastAsia" w:ascii="宋体" w:hAnsi="宋体"/>
          <w:highlight w:val="none"/>
        </w:rPr>
        <w:t>对于通过资格评审的供应商，评标委员会将进行符合性评审，以确定每一供应商投标文件的有效性、完整性和对招标文件的响应情况，看其是否对招标文件的要求做出了实质性的响应，而没有重大偏离。</w:t>
      </w:r>
    </w:p>
    <w:p w14:paraId="299C1850">
      <w:pPr>
        <w:pStyle w:val="30"/>
        <w:pageBreakBefore w:val="0"/>
        <w:kinsoku/>
        <w:wordWrap/>
        <w:overflowPunct/>
        <w:topLinePunct w:val="0"/>
        <w:bidi w:val="0"/>
        <w:spacing w:after="0" w:line="500" w:lineRule="exact"/>
        <w:ind w:firstLine="602" w:firstLineChars="250"/>
        <w:textAlignment w:val="auto"/>
        <w:rPr>
          <w:rFonts w:ascii="宋体" w:hAnsi="宋体"/>
          <w:b/>
          <w:highlight w:val="none"/>
        </w:rPr>
      </w:pPr>
      <w:r>
        <w:rPr>
          <w:rFonts w:hint="eastAsia" w:ascii="宋体" w:hAnsi="宋体" w:cs="宋体"/>
          <w:b/>
          <w:bCs/>
          <w:highlight w:val="none"/>
        </w:rPr>
        <w:t>★</w:t>
      </w:r>
      <w:r>
        <w:rPr>
          <w:rFonts w:ascii="宋体" w:hAnsi="宋体"/>
          <w:b/>
          <w:highlight w:val="none"/>
        </w:rPr>
        <w:t xml:space="preserve">24.4 </w:t>
      </w:r>
      <w:r>
        <w:rPr>
          <w:rFonts w:hint="eastAsia" w:ascii="宋体" w:hAnsi="宋体"/>
          <w:b/>
          <w:highlight w:val="none"/>
        </w:rPr>
        <w:t>如出现下列情形之一的，视为对招标文件没有做出实质性响应，按照无效投标处理。</w:t>
      </w:r>
    </w:p>
    <w:p w14:paraId="3B5724DE">
      <w:pPr>
        <w:pStyle w:val="30"/>
        <w:pageBreakBefore w:val="0"/>
        <w:numPr>
          <w:ilvl w:val="0"/>
          <w:numId w:val="4"/>
        </w:numPr>
        <w:kinsoku/>
        <w:wordWrap/>
        <w:overflowPunct/>
        <w:topLinePunct w:val="0"/>
        <w:bidi w:val="0"/>
        <w:spacing w:after="0" w:line="500" w:lineRule="exact"/>
        <w:ind w:firstLine="600" w:firstLineChars="25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投标文件存在记录的MAC地址、CPU序列号、硬盘序列号中两项及以上相同情形；</w:t>
      </w:r>
    </w:p>
    <w:p w14:paraId="329B6396">
      <w:pPr>
        <w:pStyle w:val="30"/>
        <w:pageBreakBefore w:val="0"/>
        <w:numPr>
          <w:ilvl w:val="0"/>
          <w:numId w:val="4"/>
        </w:numPr>
        <w:kinsoku/>
        <w:wordWrap/>
        <w:overflowPunct/>
        <w:topLinePunct w:val="0"/>
        <w:bidi w:val="0"/>
        <w:spacing w:after="0" w:line="500" w:lineRule="exact"/>
        <w:ind w:firstLine="600" w:firstLineChars="250"/>
        <w:textAlignment w:val="auto"/>
        <w:rPr>
          <w:rFonts w:hint="default" w:ascii="宋体" w:hAnsi="宋体"/>
          <w:color w:val="auto"/>
          <w:highlight w:val="none"/>
          <w:lang w:val="en-US" w:eastAsia="zh-CN"/>
        </w:rPr>
      </w:pPr>
      <w:r>
        <w:rPr>
          <w:rFonts w:hint="eastAsia" w:ascii="宋体" w:hAnsi="宋体"/>
          <w:color w:val="auto"/>
          <w:highlight w:val="none"/>
          <w:lang w:val="en-US" w:eastAsia="zh-CN"/>
        </w:rPr>
        <w:t>不同供应商的投标文件由同一电子设备编制、打印加密或者上传；</w:t>
      </w:r>
    </w:p>
    <w:p w14:paraId="44EC4E55">
      <w:pPr>
        <w:pStyle w:val="30"/>
        <w:pageBreakBefore w:val="0"/>
        <w:numPr>
          <w:ilvl w:val="0"/>
          <w:numId w:val="4"/>
        </w:numPr>
        <w:kinsoku/>
        <w:wordWrap/>
        <w:overflowPunct/>
        <w:topLinePunct w:val="0"/>
        <w:bidi w:val="0"/>
        <w:spacing w:after="0" w:line="500" w:lineRule="exact"/>
        <w:ind w:firstLine="600" w:firstLineChars="250"/>
        <w:textAlignment w:val="auto"/>
        <w:rPr>
          <w:rFonts w:hint="default" w:ascii="宋体" w:hAnsi="宋体"/>
          <w:color w:val="auto"/>
          <w:highlight w:val="none"/>
          <w:lang w:val="en-US" w:eastAsia="zh-CN"/>
        </w:rPr>
      </w:pPr>
      <w:r>
        <w:rPr>
          <w:rFonts w:hint="eastAsia" w:ascii="宋体" w:hAnsi="宋体"/>
          <w:color w:val="auto"/>
          <w:highlight w:val="none"/>
          <w:lang w:val="en-US" w:eastAsia="zh-CN"/>
        </w:rPr>
        <w:t>不同供应商的投标文件联系人为同一人或不同联系人的联系电话一致的；</w:t>
      </w:r>
    </w:p>
    <w:p w14:paraId="45DEDBD1">
      <w:pPr>
        <w:pStyle w:val="30"/>
        <w:pageBreakBefore w:val="0"/>
        <w:numPr>
          <w:ilvl w:val="0"/>
          <w:numId w:val="4"/>
        </w:numPr>
        <w:kinsoku/>
        <w:wordWrap/>
        <w:overflowPunct/>
        <w:topLinePunct w:val="0"/>
        <w:bidi w:val="0"/>
        <w:spacing w:after="0" w:line="500" w:lineRule="exact"/>
        <w:ind w:firstLine="600" w:firstLineChars="250"/>
        <w:textAlignment w:val="auto"/>
        <w:rPr>
          <w:rFonts w:hint="default" w:ascii="宋体" w:hAnsi="宋体"/>
          <w:color w:val="auto"/>
          <w:highlight w:val="none"/>
          <w:lang w:val="en-US" w:eastAsia="zh-CN"/>
        </w:rPr>
      </w:pPr>
      <w:r>
        <w:rPr>
          <w:rFonts w:hint="eastAsia" w:ascii="宋体" w:hAnsi="宋体"/>
          <w:color w:val="auto"/>
          <w:highlight w:val="none"/>
          <w:lang w:val="en-US" w:eastAsia="zh-CN"/>
        </w:rPr>
        <w:t>不同供应商的投标文件的内容存在两处以上细节错误一致，且无法合理解释的；</w:t>
      </w:r>
    </w:p>
    <w:p w14:paraId="68660A5B">
      <w:pPr>
        <w:pStyle w:val="30"/>
        <w:pageBreakBefore w:val="0"/>
        <w:numPr>
          <w:ilvl w:val="0"/>
          <w:numId w:val="4"/>
        </w:numPr>
        <w:kinsoku/>
        <w:wordWrap/>
        <w:overflowPunct/>
        <w:topLinePunct w:val="0"/>
        <w:bidi w:val="0"/>
        <w:spacing w:after="0" w:line="500" w:lineRule="exact"/>
        <w:ind w:firstLine="600" w:firstLineChars="250"/>
        <w:textAlignment w:val="auto"/>
        <w:rPr>
          <w:rFonts w:hint="default"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不同供应商的法定代表人、委托代理人、项目经理、项目负责人等由同一个单位缴纳社会保险或者领取报酬的；</w:t>
      </w:r>
    </w:p>
    <w:p w14:paraId="027D222A">
      <w:pPr>
        <w:pStyle w:val="30"/>
        <w:pageBreakBefore w:val="0"/>
        <w:numPr>
          <w:ilvl w:val="0"/>
          <w:numId w:val="4"/>
        </w:numPr>
        <w:kinsoku/>
        <w:wordWrap/>
        <w:overflowPunct/>
        <w:topLinePunct w:val="0"/>
        <w:bidi w:val="0"/>
        <w:spacing w:after="0" w:line="500" w:lineRule="exact"/>
        <w:ind w:firstLine="600" w:firstLineChars="250"/>
        <w:textAlignment w:val="auto"/>
        <w:rPr>
          <w:rFonts w:hint="default"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不同供应商投标文件中法定代表人或者负责人由同一人签字的；</w:t>
      </w:r>
    </w:p>
    <w:p w14:paraId="09B391CD">
      <w:pPr>
        <w:pStyle w:val="30"/>
        <w:pageBreakBefore w:val="0"/>
        <w:numPr>
          <w:ilvl w:val="0"/>
          <w:numId w:val="4"/>
        </w:numPr>
        <w:kinsoku/>
        <w:wordWrap/>
        <w:overflowPunct/>
        <w:topLinePunct w:val="0"/>
        <w:bidi w:val="0"/>
        <w:spacing w:after="0" w:line="500" w:lineRule="exact"/>
        <w:ind w:firstLine="600" w:firstLineChars="25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投标文件未经法定代表人签署且未提供有效的法定代表人授权委托书的；</w:t>
      </w:r>
    </w:p>
    <w:p w14:paraId="5A166F06">
      <w:pPr>
        <w:pStyle w:val="30"/>
        <w:pageBreakBefore w:val="0"/>
        <w:numPr>
          <w:ilvl w:val="0"/>
          <w:numId w:val="4"/>
        </w:numPr>
        <w:kinsoku/>
        <w:wordWrap/>
        <w:overflowPunct/>
        <w:topLinePunct w:val="0"/>
        <w:bidi w:val="0"/>
        <w:spacing w:after="0" w:line="500" w:lineRule="exact"/>
        <w:ind w:firstLine="600" w:firstLineChars="25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未按招标文件规定要求签署、盖章；</w:t>
      </w:r>
    </w:p>
    <w:p w14:paraId="07F75B89">
      <w:pPr>
        <w:pStyle w:val="30"/>
        <w:pageBreakBefore w:val="0"/>
        <w:numPr>
          <w:ilvl w:val="0"/>
          <w:numId w:val="4"/>
        </w:numPr>
        <w:kinsoku/>
        <w:wordWrap/>
        <w:overflowPunct/>
        <w:topLinePunct w:val="0"/>
        <w:bidi w:val="0"/>
        <w:spacing w:after="0" w:line="500" w:lineRule="exact"/>
        <w:ind w:firstLine="600" w:firstLineChars="250"/>
        <w:textAlignment w:val="auto"/>
        <w:rPr>
          <w:rFonts w:hint="eastAsia" w:ascii="宋体" w:hAnsi="宋体"/>
          <w:bCs/>
          <w:color w:val="auto"/>
          <w:highlight w:val="none"/>
        </w:rPr>
      </w:pPr>
      <w:r>
        <w:rPr>
          <w:rFonts w:hint="eastAsia" w:ascii="宋体" w:hAnsi="宋体"/>
          <w:bCs/>
          <w:color w:val="auto"/>
          <w:highlight w:val="none"/>
        </w:rPr>
        <w:t>不符合招标文件中任一带★号条款的；</w:t>
      </w:r>
    </w:p>
    <w:p w14:paraId="21F85B55">
      <w:pPr>
        <w:pStyle w:val="30"/>
        <w:pageBreakBefore w:val="0"/>
        <w:kinsoku/>
        <w:wordWrap/>
        <w:overflowPunct/>
        <w:topLinePunct w:val="0"/>
        <w:bidi w:val="0"/>
        <w:spacing w:after="0" w:line="500" w:lineRule="exact"/>
        <w:ind w:firstLine="480" w:firstLineChars="200"/>
        <w:textAlignment w:val="auto"/>
        <w:rPr>
          <w:rFonts w:hint="eastAsia" w:ascii="宋体" w:hAnsi="宋体"/>
          <w:bCs/>
          <w:color w:val="auto"/>
          <w:highlight w:val="none"/>
        </w:rPr>
      </w:pPr>
      <w:r>
        <w:rPr>
          <w:rFonts w:hint="eastAsia" w:ascii="宋体" w:hAnsi="宋体"/>
          <w:bCs/>
          <w:color w:val="auto"/>
          <w:highlight w:val="none"/>
          <w:lang w:val="en-US" w:eastAsia="zh-CN"/>
        </w:rPr>
        <w:t>10）</w:t>
      </w:r>
      <w:r>
        <w:rPr>
          <w:rFonts w:hint="eastAsia" w:ascii="宋体" w:hAnsi="宋体"/>
          <w:bCs/>
          <w:color w:val="auto"/>
          <w:highlight w:val="none"/>
        </w:rPr>
        <w:t>投标文件内容不全或未按规定填写或字迹模糊、辨认不清或涂改未加盖公章确认也未经法定代表人或其委托代理人签字确认的；</w:t>
      </w:r>
    </w:p>
    <w:p w14:paraId="5BF3F113">
      <w:pPr>
        <w:pStyle w:val="30"/>
        <w:pageBreakBefore w:val="0"/>
        <w:kinsoku/>
        <w:wordWrap/>
        <w:overflowPunct/>
        <w:topLinePunct w:val="0"/>
        <w:bidi w:val="0"/>
        <w:spacing w:after="0" w:line="500" w:lineRule="exact"/>
        <w:ind w:firstLine="480" w:firstLineChars="200"/>
        <w:textAlignment w:val="auto"/>
        <w:rPr>
          <w:rFonts w:hint="eastAsia" w:ascii="宋体" w:hAnsi="宋体"/>
          <w:bCs/>
          <w:color w:val="auto"/>
          <w:highlight w:val="none"/>
        </w:rPr>
      </w:pPr>
      <w:r>
        <w:rPr>
          <w:rFonts w:hint="eastAsia" w:ascii="宋体" w:hAnsi="宋体"/>
          <w:bCs/>
          <w:color w:val="auto"/>
          <w:highlight w:val="none"/>
          <w:lang w:val="en-US" w:eastAsia="zh-CN"/>
        </w:rPr>
        <w:t>11）</w:t>
      </w:r>
      <w:r>
        <w:rPr>
          <w:rFonts w:hint="eastAsia" w:ascii="宋体" w:hAnsi="宋体"/>
          <w:bCs/>
          <w:color w:val="auto"/>
          <w:highlight w:val="none"/>
        </w:rPr>
        <w:t>不按照招标文件规定报价、有多个报价（招标文件另有规定的除外）、有选择性报价、附有条件的报价或者拒绝修正报价的；</w:t>
      </w:r>
    </w:p>
    <w:p w14:paraId="5236576F">
      <w:pPr>
        <w:pStyle w:val="30"/>
        <w:pageBreakBefore w:val="0"/>
        <w:kinsoku/>
        <w:wordWrap/>
        <w:overflowPunct/>
        <w:topLinePunct w:val="0"/>
        <w:bidi w:val="0"/>
        <w:spacing w:after="0" w:line="500" w:lineRule="exact"/>
        <w:ind w:firstLine="600" w:firstLineChars="250"/>
        <w:textAlignment w:val="auto"/>
        <w:rPr>
          <w:rFonts w:hint="eastAsia" w:ascii="宋体" w:hAnsi="宋体"/>
          <w:bCs/>
          <w:color w:val="auto"/>
          <w:highlight w:val="none"/>
        </w:rPr>
      </w:pPr>
      <w:r>
        <w:rPr>
          <w:rFonts w:hint="eastAsia" w:ascii="宋体" w:hAnsi="宋体"/>
          <w:bCs/>
          <w:snapToGrid w:val="0"/>
          <w:color w:val="auto"/>
          <w:highlight w:val="none"/>
          <w:lang w:val="en-US" w:eastAsia="zh-CN"/>
        </w:rPr>
        <w:t>12）</w:t>
      </w:r>
      <w:r>
        <w:rPr>
          <w:rFonts w:hint="eastAsia" w:ascii="宋体" w:hAnsi="宋体"/>
          <w:bCs/>
          <w:snapToGrid w:val="0"/>
          <w:color w:val="auto"/>
          <w:highlight w:val="none"/>
        </w:rPr>
        <w:t>评标委员会认为供应商的报价明显低于其他通过符合性审查供应商的报价，有可能影响产品质量或者不能诚信履约的，要求供应商在评审现场合理的时间内提供书面说明，必要时提交相关证明材料；但供应商不能证明其报价合理性的；</w:t>
      </w:r>
    </w:p>
    <w:p w14:paraId="48580464">
      <w:pPr>
        <w:pStyle w:val="30"/>
        <w:pageBreakBefore w:val="0"/>
        <w:kinsoku/>
        <w:wordWrap/>
        <w:overflowPunct/>
        <w:topLinePunct w:val="0"/>
        <w:bidi w:val="0"/>
        <w:spacing w:after="0" w:line="500" w:lineRule="exact"/>
        <w:ind w:firstLine="600" w:firstLineChars="250"/>
        <w:textAlignment w:val="auto"/>
        <w:rPr>
          <w:rFonts w:ascii="宋体" w:hAnsi="宋体"/>
          <w:bCs/>
          <w:color w:val="auto"/>
          <w:highlight w:val="none"/>
        </w:rPr>
      </w:pPr>
      <w:r>
        <w:rPr>
          <w:rFonts w:hint="eastAsia" w:ascii="宋体" w:hAnsi="宋体"/>
          <w:bCs/>
          <w:color w:val="auto"/>
          <w:highlight w:val="none"/>
          <w:lang w:val="en-US" w:eastAsia="zh-CN"/>
        </w:rPr>
        <w:t>13）</w:t>
      </w:r>
      <w:r>
        <w:rPr>
          <w:rFonts w:hint="eastAsia" w:ascii="宋体" w:hAnsi="宋体"/>
          <w:bCs/>
          <w:color w:val="auto"/>
          <w:highlight w:val="none"/>
        </w:rPr>
        <w:t>投标报价超过采购预算或最高限价的；</w:t>
      </w:r>
    </w:p>
    <w:p w14:paraId="484E480E">
      <w:pPr>
        <w:pStyle w:val="30"/>
        <w:pageBreakBefore w:val="0"/>
        <w:kinsoku/>
        <w:wordWrap/>
        <w:overflowPunct/>
        <w:topLinePunct w:val="0"/>
        <w:bidi w:val="0"/>
        <w:spacing w:after="0" w:line="500" w:lineRule="exact"/>
        <w:ind w:firstLine="600" w:firstLineChars="250"/>
        <w:textAlignment w:val="auto"/>
        <w:rPr>
          <w:rFonts w:hint="eastAsia" w:ascii="宋体" w:hAnsi="宋体"/>
          <w:bCs/>
          <w:snapToGrid w:val="0"/>
          <w:color w:val="auto"/>
          <w:highlight w:val="none"/>
        </w:rPr>
      </w:pPr>
      <w:r>
        <w:rPr>
          <w:rFonts w:hint="eastAsia" w:ascii="宋体" w:hAnsi="宋体"/>
          <w:bCs/>
          <w:snapToGrid w:val="0"/>
          <w:color w:val="auto"/>
          <w:highlight w:val="none"/>
          <w:lang w:val="en-US" w:eastAsia="zh-CN"/>
        </w:rPr>
        <w:t>14）</w:t>
      </w:r>
      <w:r>
        <w:rPr>
          <w:rFonts w:hint="eastAsia" w:ascii="宋体" w:hAnsi="宋体"/>
          <w:bCs/>
          <w:snapToGrid w:val="0"/>
          <w:color w:val="auto"/>
          <w:highlight w:val="none"/>
        </w:rPr>
        <w:t>投标有效期不满足招标文件要求的；</w:t>
      </w:r>
    </w:p>
    <w:p w14:paraId="58A92BE8">
      <w:pPr>
        <w:pStyle w:val="30"/>
        <w:pageBreakBefore w:val="0"/>
        <w:kinsoku/>
        <w:wordWrap/>
        <w:overflowPunct/>
        <w:topLinePunct w:val="0"/>
        <w:bidi w:val="0"/>
        <w:spacing w:after="0" w:line="500" w:lineRule="exact"/>
        <w:ind w:firstLine="600" w:firstLineChars="250"/>
        <w:textAlignment w:val="auto"/>
        <w:rPr>
          <w:rFonts w:hint="eastAsia" w:ascii="宋体" w:hAnsi="宋体"/>
          <w:bCs/>
          <w:snapToGrid w:val="0"/>
          <w:color w:val="auto"/>
          <w:highlight w:val="none"/>
        </w:rPr>
      </w:pPr>
      <w:r>
        <w:rPr>
          <w:rFonts w:hint="eastAsia" w:ascii="宋体" w:hAnsi="宋体"/>
          <w:bCs/>
          <w:snapToGrid w:val="0"/>
          <w:color w:val="auto"/>
          <w:highlight w:val="none"/>
          <w:lang w:val="en-US" w:eastAsia="zh-CN"/>
        </w:rPr>
        <w:t>15</w:t>
      </w:r>
      <w:r>
        <w:rPr>
          <w:rFonts w:hint="eastAsia" w:ascii="宋体" w:hAnsi="宋体"/>
          <w:bCs/>
          <w:snapToGrid w:val="0"/>
          <w:color w:val="auto"/>
          <w:highlight w:val="none"/>
        </w:rPr>
        <w:t>）投标文件含有采购人不能接受的附加条件的；</w:t>
      </w:r>
    </w:p>
    <w:p w14:paraId="582D6DDF">
      <w:pPr>
        <w:pStyle w:val="30"/>
        <w:pageBreakBefore w:val="0"/>
        <w:kinsoku/>
        <w:wordWrap/>
        <w:overflowPunct/>
        <w:topLinePunct w:val="0"/>
        <w:bidi w:val="0"/>
        <w:spacing w:after="0" w:line="500" w:lineRule="exact"/>
        <w:ind w:firstLine="600" w:firstLineChars="250"/>
        <w:textAlignment w:val="auto"/>
        <w:rPr>
          <w:rFonts w:hint="eastAsia" w:ascii="宋体" w:hAnsi="宋体"/>
          <w:bCs/>
          <w:snapToGrid w:val="0"/>
          <w:color w:val="auto"/>
          <w:highlight w:val="none"/>
        </w:rPr>
      </w:pPr>
      <w:r>
        <w:rPr>
          <w:rFonts w:hint="eastAsia" w:ascii="宋体" w:hAnsi="宋体"/>
          <w:bCs/>
          <w:snapToGrid w:val="0"/>
          <w:color w:val="auto"/>
          <w:highlight w:val="none"/>
          <w:lang w:val="en-US" w:eastAsia="zh-CN"/>
        </w:rPr>
        <w:t>16</w:t>
      </w:r>
      <w:r>
        <w:rPr>
          <w:rFonts w:hint="eastAsia" w:ascii="宋体" w:hAnsi="宋体"/>
          <w:bCs/>
          <w:snapToGrid w:val="0"/>
          <w:color w:val="auto"/>
          <w:highlight w:val="none"/>
        </w:rPr>
        <w:t>）以他人名义投标或者在投标文件中提供虚假材料的；</w:t>
      </w:r>
    </w:p>
    <w:p w14:paraId="28C00B3E">
      <w:pPr>
        <w:pStyle w:val="30"/>
        <w:pageBreakBefore w:val="0"/>
        <w:kinsoku/>
        <w:wordWrap/>
        <w:overflowPunct/>
        <w:topLinePunct w:val="0"/>
        <w:bidi w:val="0"/>
        <w:spacing w:after="0" w:line="500" w:lineRule="exact"/>
        <w:ind w:firstLine="600" w:firstLineChars="250"/>
        <w:textAlignment w:val="auto"/>
        <w:rPr>
          <w:rFonts w:hint="eastAsia" w:ascii="宋体" w:hAnsi="宋体"/>
          <w:bCs/>
          <w:snapToGrid w:val="0"/>
          <w:color w:val="auto"/>
          <w:highlight w:val="none"/>
        </w:rPr>
      </w:pPr>
      <w:r>
        <w:rPr>
          <w:rFonts w:hint="eastAsia" w:ascii="宋体" w:hAnsi="宋体"/>
          <w:bCs/>
          <w:snapToGrid w:val="0"/>
          <w:color w:val="auto"/>
          <w:highlight w:val="none"/>
          <w:lang w:val="en-US" w:eastAsia="zh-CN"/>
        </w:rPr>
        <w:t>17</w:t>
      </w:r>
      <w:r>
        <w:rPr>
          <w:rFonts w:hint="eastAsia" w:ascii="宋体" w:hAnsi="宋体"/>
          <w:bCs/>
          <w:snapToGrid w:val="0"/>
          <w:color w:val="auto"/>
          <w:highlight w:val="none"/>
        </w:rPr>
        <w:t>）未响应招标文件规定的其他实质性要求的；</w:t>
      </w:r>
    </w:p>
    <w:p w14:paraId="0696DABA">
      <w:pPr>
        <w:pStyle w:val="30"/>
        <w:pageBreakBefore w:val="0"/>
        <w:kinsoku/>
        <w:wordWrap/>
        <w:overflowPunct/>
        <w:topLinePunct w:val="0"/>
        <w:bidi w:val="0"/>
        <w:spacing w:after="0" w:line="500" w:lineRule="exact"/>
        <w:ind w:firstLine="600" w:firstLineChars="250"/>
        <w:textAlignment w:val="auto"/>
        <w:rPr>
          <w:rFonts w:hint="eastAsia" w:ascii="宋体" w:hAnsi="宋体"/>
          <w:bCs/>
          <w:highlight w:val="none"/>
        </w:rPr>
      </w:pPr>
      <w:r>
        <w:rPr>
          <w:rFonts w:hint="eastAsia" w:ascii="宋体" w:hAnsi="宋体"/>
          <w:bCs/>
          <w:snapToGrid w:val="0"/>
          <w:color w:val="auto"/>
          <w:highlight w:val="none"/>
          <w:lang w:val="en-US" w:eastAsia="zh-CN"/>
        </w:rPr>
        <w:t>18</w:t>
      </w:r>
      <w:r>
        <w:rPr>
          <w:rFonts w:hint="eastAsia" w:ascii="宋体" w:hAnsi="宋体"/>
          <w:bCs/>
          <w:snapToGrid w:val="0"/>
          <w:color w:val="auto"/>
          <w:highlight w:val="none"/>
        </w:rPr>
        <w:t>）法律法规和招标文件规定的其他情形。</w:t>
      </w:r>
    </w:p>
    <w:p w14:paraId="31DD5A0A">
      <w:pPr>
        <w:pageBreakBefore w:val="0"/>
        <w:kinsoku/>
        <w:wordWrap/>
        <w:overflowPunct/>
        <w:topLinePunct w:val="0"/>
        <w:bidi w:val="0"/>
        <w:spacing w:line="500" w:lineRule="exact"/>
        <w:ind w:firstLine="600" w:firstLineChars="250"/>
        <w:textAlignment w:val="auto"/>
        <w:rPr>
          <w:rFonts w:ascii="宋体" w:hAnsi="宋体" w:cs="宋体"/>
          <w:kern w:val="0"/>
          <w:sz w:val="24"/>
          <w:highlight w:val="none"/>
        </w:rPr>
      </w:pPr>
      <w:r>
        <w:rPr>
          <w:rFonts w:ascii="宋体" w:hAnsi="宋体" w:cs="宋体"/>
          <w:kern w:val="0"/>
          <w:sz w:val="24"/>
          <w:highlight w:val="none"/>
        </w:rPr>
        <w:t xml:space="preserve">24.5 </w:t>
      </w:r>
      <w:r>
        <w:rPr>
          <w:rFonts w:hint="eastAsia" w:ascii="宋体" w:hAnsi="宋体" w:cs="宋体"/>
          <w:kern w:val="0"/>
          <w:sz w:val="24"/>
          <w:highlight w:val="none"/>
        </w:rPr>
        <w:t>评标委员会将否决被确定为非实质性响应的投标文件，供应商不能通过修正或撤销投标文件中的不符之处而使其投标成为实质性响应的投标。</w:t>
      </w:r>
    </w:p>
    <w:p w14:paraId="5A244EFB">
      <w:pPr>
        <w:pageBreakBefore w:val="0"/>
        <w:kinsoku/>
        <w:wordWrap/>
        <w:overflowPunct/>
        <w:topLinePunct w:val="0"/>
        <w:bidi w:val="0"/>
        <w:spacing w:line="500" w:lineRule="exact"/>
        <w:ind w:firstLine="600" w:firstLineChars="250"/>
        <w:textAlignment w:val="auto"/>
        <w:rPr>
          <w:rFonts w:ascii="宋体" w:hAnsi="宋体" w:cs="宋体"/>
          <w:kern w:val="0"/>
          <w:sz w:val="24"/>
          <w:highlight w:val="none"/>
        </w:rPr>
      </w:pPr>
      <w:r>
        <w:rPr>
          <w:rFonts w:ascii="宋体" w:hAnsi="宋体" w:cs="宋体"/>
          <w:kern w:val="0"/>
          <w:sz w:val="24"/>
          <w:highlight w:val="none"/>
        </w:rPr>
        <w:t>24.</w:t>
      </w:r>
      <w:r>
        <w:rPr>
          <w:rFonts w:hint="eastAsia" w:ascii="宋体" w:hAnsi="宋体" w:cs="宋体"/>
          <w:kern w:val="0"/>
          <w:sz w:val="24"/>
          <w:highlight w:val="none"/>
        </w:rPr>
        <w:t>6</w:t>
      </w:r>
      <w:r>
        <w:rPr>
          <w:rFonts w:ascii="宋体" w:hAnsi="宋体" w:cs="宋体"/>
          <w:kern w:val="0"/>
          <w:sz w:val="24"/>
          <w:highlight w:val="none"/>
        </w:rPr>
        <w:t xml:space="preserve"> </w:t>
      </w:r>
      <w:r>
        <w:rPr>
          <w:rFonts w:hint="eastAsia" w:ascii="宋体" w:hAnsi="宋体" w:cs="宋体"/>
          <w:kern w:val="0"/>
          <w:sz w:val="24"/>
          <w:highlight w:val="none"/>
        </w:rPr>
        <w:t>评标委员会通过上述评审，确定通过初步评审的合格供应商名单，只有通过初步评审的供应商，才能进入综合评审。合格供应商不足</w:t>
      </w:r>
      <w:r>
        <w:rPr>
          <w:rFonts w:ascii="宋体" w:hAnsi="宋体" w:cs="宋体"/>
          <w:kern w:val="0"/>
          <w:sz w:val="24"/>
          <w:highlight w:val="none"/>
        </w:rPr>
        <w:t>3</w:t>
      </w:r>
      <w:r>
        <w:rPr>
          <w:rFonts w:hint="eastAsia" w:ascii="宋体" w:hAnsi="宋体" w:cs="宋体"/>
          <w:kern w:val="0"/>
          <w:sz w:val="24"/>
          <w:highlight w:val="none"/>
        </w:rPr>
        <w:t>家的，不得继续评标。</w:t>
      </w:r>
    </w:p>
    <w:p w14:paraId="0B469A21">
      <w:pPr>
        <w:pStyle w:val="30"/>
        <w:pageBreakBefore w:val="0"/>
        <w:kinsoku/>
        <w:wordWrap/>
        <w:overflowPunct/>
        <w:topLinePunct w:val="0"/>
        <w:bidi w:val="0"/>
        <w:spacing w:after="0" w:line="500" w:lineRule="exact"/>
        <w:ind w:left="1146" w:leftChars="273" w:hanging="573" w:hangingChars="238"/>
        <w:textAlignment w:val="auto"/>
        <w:rPr>
          <w:rFonts w:ascii="宋体" w:hAnsi="宋体"/>
          <w:b/>
          <w:bCs/>
          <w:highlight w:val="none"/>
        </w:rPr>
      </w:pPr>
      <w:r>
        <w:rPr>
          <w:rFonts w:ascii="宋体" w:hAnsi="宋体"/>
          <w:b/>
          <w:bCs/>
          <w:highlight w:val="none"/>
        </w:rPr>
        <w:t xml:space="preserve">25.  </w:t>
      </w:r>
      <w:r>
        <w:rPr>
          <w:rFonts w:hint="eastAsia" w:ascii="宋体" w:hAnsi="宋体"/>
          <w:b/>
          <w:bCs/>
          <w:highlight w:val="none"/>
        </w:rPr>
        <w:t>报价不一致时的修正和处理</w:t>
      </w:r>
    </w:p>
    <w:p w14:paraId="1E248297">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hint="eastAsia" w:ascii="宋体" w:hAnsi="宋体"/>
          <w:highlight w:val="none"/>
        </w:rPr>
        <w:t>（1）投标文件中开标一览表（报价表）内容与投标文件中相应内容不一致的，以开标一览表（报价表）为准；</w:t>
      </w:r>
    </w:p>
    <w:p w14:paraId="2B9869C8">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hint="eastAsia" w:ascii="宋体" w:hAnsi="宋体"/>
          <w:highlight w:val="none"/>
        </w:rPr>
        <w:t>（2）大写金额和小写金额不一致的，以大写金额为准；</w:t>
      </w:r>
    </w:p>
    <w:p w14:paraId="13101E66">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hint="eastAsia" w:ascii="宋体" w:hAnsi="宋体"/>
          <w:highlight w:val="none"/>
        </w:rPr>
        <w:t>（3）单价金额小数点或者百分比有明显错位的，以开标一览表的总价为准，并修改单价；</w:t>
      </w:r>
    </w:p>
    <w:p w14:paraId="6BBF0236">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hint="eastAsia" w:ascii="宋体" w:hAnsi="宋体"/>
          <w:highlight w:val="none"/>
        </w:rPr>
        <w:t>（4）总价金额与按单价汇总金额不一致的，以单价金额计算结果为准。</w:t>
      </w:r>
    </w:p>
    <w:p w14:paraId="1BC49522">
      <w:pPr>
        <w:pStyle w:val="30"/>
        <w:pageBreakBefore w:val="0"/>
        <w:kinsoku/>
        <w:wordWrap/>
        <w:overflowPunct/>
        <w:topLinePunct w:val="0"/>
        <w:bidi w:val="0"/>
        <w:spacing w:after="0" w:line="500" w:lineRule="exact"/>
        <w:ind w:firstLine="602" w:firstLineChars="250"/>
        <w:textAlignment w:val="auto"/>
        <w:rPr>
          <w:rFonts w:ascii="宋体" w:hAnsi="宋体"/>
          <w:b/>
          <w:highlight w:val="none"/>
        </w:rPr>
      </w:pPr>
      <w:r>
        <w:rPr>
          <w:rFonts w:hint="eastAsia" w:ascii="宋体" w:hAnsi="宋体"/>
          <w:b/>
          <w:highlight w:val="none"/>
        </w:rPr>
        <w:t>★（5）供应商所投同一个包中，两个或以上开标一览表不一致的，视为投报多个方案，除非招标文件明确规定接受备选方案外，均按未实质性响应招标文件处理。</w:t>
      </w:r>
    </w:p>
    <w:p w14:paraId="0C75F732">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hint="eastAsia" w:ascii="宋体" w:hAnsi="宋体"/>
          <w:highlight w:val="none"/>
        </w:rPr>
        <w:t>（6）投标文件的正本与副本不一致的，以正本为准；对不同文字文本投标文件的解释发生异议的，以中文文本为准。</w:t>
      </w:r>
    </w:p>
    <w:p w14:paraId="0050F0F8">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hint="eastAsia" w:ascii="宋体" w:hAnsi="宋体"/>
          <w:highlight w:val="none"/>
        </w:rPr>
        <w:t>同时出现两种以上不一致的，按照上述规定的顺序修正。</w:t>
      </w:r>
    </w:p>
    <w:p w14:paraId="344FE4E5">
      <w:pPr>
        <w:pStyle w:val="30"/>
        <w:pageBreakBefore w:val="0"/>
        <w:kinsoku/>
        <w:wordWrap/>
        <w:overflowPunct/>
        <w:topLinePunct w:val="0"/>
        <w:bidi w:val="0"/>
        <w:spacing w:after="0" w:line="500" w:lineRule="exact"/>
        <w:ind w:firstLine="602" w:firstLineChars="250"/>
        <w:textAlignment w:val="auto"/>
        <w:rPr>
          <w:rFonts w:ascii="宋体" w:hAnsi="宋体"/>
          <w:b/>
          <w:highlight w:val="none"/>
        </w:rPr>
      </w:pPr>
      <w:r>
        <w:rPr>
          <w:rFonts w:hint="eastAsia" w:ascii="宋体" w:hAnsi="宋体"/>
          <w:b/>
          <w:highlight w:val="none"/>
        </w:rPr>
        <w:t>★评标委员会应要求供应商法定代表人或其委托代理人对修正后的报价签字确认，供应商不确认的，其投标无效。</w:t>
      </w:r>
    </w:p>
    <w:p w14:paraId="638A1D44">
      <w:pPr>
        <w:pStyle w:val="30"/>
        <w:pageBreakBefore w:val="0"/>
        <w:kinsoku/>
        <w:wordWrap/>
        <w:overflowPunct/>
        <w:topLinePunct w:val="0"/>
        <w:bidi w:val="0"/>
        <w:spacing w:after="0" w:line="500" w:lineRule="exact"/>
        <w:ind w:firstLine="602" w:firstLineChars="250"/>
        <w:textAlignment w:val="auto"/>
        <w:rPr>
          <w:rFonts w:ascii="宋体" w:hAnsi="宋体"/>
          <w:b/>
          <w:bCs/>
          <w:highlight w:val="none"/>
        </w:rPr>
      </w:pPr>
      <w:r>
        <w:rPr>
          <w:rFonts w:ascii="宋体" w:hAnsi="宋体"/>
          <w:b/>
          <w:bCs/>
          <w:highlight w:val="none"/>
        </w:rPr>
        <w:t xml:space="preserve">26.  </w:t>
      </w:r>
      <w:r>
        <w:rPr>
          <w:rFonts w:hint="eastAsia" w:ascii="宋体" w:hAnsi="宋体"/>
          <w:b/>
          <w:bCs/>
          <w:highlight w:val="none"/>
        </w:rPr>
        <w:t>投标文件的澄清</w:t>
      </w:r>
    </w:p>
    <w:p w14:paraId="5DE2C96D">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ascii="宋体" w:hAnsi="宋体"/>
          <w:highlight w:val="none"/>
        </w:rPr>
        <w:t>26.1</w:t>
      </w:r>
      <w:r>
        <w:rPr>
          <w:rFonts w:hint="eastAsia" w:ascii="宋体" w:hAnsi="宋体"/>
          <w:highlight w:val="none"/>
        </w:rPr>
        <w:t>为有助于对投标文件进行审查、评估和比较，评标委员会有权向供应商询问。供应商有义务以书面形式对其</w:t>
      </w:r>
      <w:r>
        <w:rPr>
          <w:rFonts w:hint="eastAsia" w:ascii="宋体" w:hAnsi="宋体"/>
          <w:snapToGrid w:val="0"/>
          <w:highlight w:val="none"/>
        </w:rPr>
        <w:t>投标文件中含义不明确、同类问题表述不一致或者有明显文字和计算错误的内容进行澄清和说明</w:t>
      </w:r>
      <w:r>
        <w:rPr>
          <w:rFonts w:hint="eastAsia" w:ascii="宋体" w:hAnsi="宋体"/>
          <w:highlight w:val="none"/>
        </w:rPr>
        <w:t>，但澄清和说明的内容不得超出投标文件的范围或改变投标文件的实质性内容。供应商澄清和说明的内容构成投标文件的组成部分；</w:t>
      </w:r>
    </w:p>
    <w:p w14:paraId="408C1605">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ascii="宋体" w:hAnsi="宋体"/>
          <w:highlight w:val="none"/>
        </w:rPr>
        <w:t>26.2</w:t>
      </w:r>
      <w:r>
        <w:rPr>
          <w:rFonts w:hint="eastAsia" w:ascii="宋体" w:hAnsi="宋体"/>
          <w:highlight w:val="none"/>
        </w:rPr>
        <w:t>评标委员会不接受供应商主动提出的澄清，采购人也不接受供应商主动承诺给予采购人赠品、回扣或者与采购无关的其他商品、服务。</w:t>
      </w:r>
    </w:p>
    <w:p w14:paraId="399D0CD9">
      <w:pPr>
        <w:pStyle w:val="30"/>
        <w:pageBreakBefore w:val="0"/>
        <w:kinsoku/>
        <w:wordWrap/>
        <w:overflowPunct/>
        <w:topLinePunct w:val="0"/>
        <w:bidi w:val="0"/>
        <w:spacing w:after="0" w:line="500" w:lineRule="exact"/>
        <w:ind w:left="1146" w:leftChars="273" w:hanging="573" w:hangingChars="238"/>
        <w:textAlignment w:val="auto"/>
        <w:rPr>
          <w:rFonts w:ascii="宋体" w:hAnsi="宋体"/>
          <w:b/>
          <w:bCs/>
          <w:highlight w:val="none"/>
        </w:rPr>
      </w:pPr>
      <w:r>
        <w:rPr>
          <w:rFonts w:ascii="宋体" w:hAnsi="宋体"/>
          <w:b/>
          <w:bCs/>
          <w:highlight w:val="none"/>
        </w:rPr>
        <w:t xml:space="preserve">27.  </w:t>
      </w:r>
      <w:r>
        <w:rPr>
          <w:rFonts w:hint="eastAsia" w:ascii="宋体" w:hAnsi="宋体"/>
          <w:b/>
          <w:bCs/>
          <w:highlight w:val="none"/>
        </w:rPr>
        <w:t>综合评审</w:t>
      </w:r>
    </w:p>
    <w:p w14:paraId="527B3C6C">
      <w:pPr>
        <w:pStyle w:val="69"/>
        <w:pageBreakBefore w:val="0"/>
        <w:widowControl w:val="0"/>
        <w:kinsoku/>
        <w:wordWrap/>
        <w:overflowPunct/>
        <w:topLinePunct w:val="0"/>
        <w:bidi w:val="0"/>
        <w:spacing w:before="0" w:beforeAutospacing="0" w:after="0" w:afterAutospacing="0" w:line="500" w:lineRule="exact"/>
        <w:ind w:firstLine="600" w:firstLineChars="250"/>
        <w:jc w:val="both"/>
        <w:textAlignment w:val="auto"/>
        <w:rPr>
          <w:highlight w:val="none"/>
        </w:rPr>
      </w:pPr>
      <w:r>
        <w:rPr>
          <w:highlight w:val="none"/>
        </w:rPr>
        <w:t xml:space="preserve">27.1 </w:t>
      </w:r>
      <w:r>
        <w:rPr>
          <w:rFonts w:hint="eastAsia"/>
          <w:highlight w:val="none"/>
        </w:rPr>
        <w:t>对通过初步评审的供应商，由评标委员会根据招标文件 “评标方法”进行综合评审。</w:t>
      </w:r>
    </w:p>
    <w:p w14:paraId="13210F0D">
      <w:pPr>
        <w:pStyle w:val="30"/>
        <w:pageBreakBefore w:val="0"/>
        <w:kinsoku/>
        <w:wordWrap/>
        <w:overflowPunct/>
        <w:topLinePunct w:val="0"/>
        <w:bidi w:val="0"/>
        <w:spacing w:after="0" w:line="500" w:lineRule="exact"/>
        <w:ind w:firstLine="600" w:firstLineChars="250"/>
        <w:textAlignment w:val="auto"/>
        <w:rPr>
          <w:rFonts w:ascii="宋体" w:hAnsi="宋体" w:cs="宋体"/>
          <w:szCs w:val="24"/>
          <w:highlight w:val="none"/>
        </w:rPr>
      </w:pPr>
      <w:r>
        <w:rPr>
          <w:rFonts w:ascii="宋体" w:hAnsi="宋体" w:cs="宋体"/>
          <w:szCs w:val="24"/>
          <w:highlight w:val="none"/>
        </w:rPr>
        <w:t>27.2</w:t>
      </w:r>
      <w:r>
        <w:rPr>
          <w:rFonts w:hint="eastAsia" w:ascii="宋体" w:hAnsi="宋体" w:cs="Arial"/>
          <w:szCs w:val="24"/>
          <w:highlight w:val="none"/>
        </w:rPr>
        <w:t>评标委员会应当按照招标文件中规定的评标方法和标准，对通过初步评审的投标文件进行商务和技术评估，综合比较与评价。</w:t>
      </w:r>
      <w:r>
        <w:rPr>
          <w:rFonts w:hint="eastAsia" w:ascii="宋体" w:hAnsi="宋体" w:cs="宋体"/>
          <w:szCs w:val="24"/>
          <w:highlight w:val="none"/>
        </w:rPr>
        <w:t>按照汇总得分的由高到低的顺序对各供应商进行排序，提出书面评标报告，推荐中标候选人。</w:t>
      </w:r>
    </w:p>
    <w:p w14:paraId="6E828D37">
      <w:pPr>
        <w:pStyle w:val="69"/>
        <w:pageBreakBefore w:val="0"/>
        <w:widowControl w:val="0"/>
        <w:kinsoku/>
        <w:wordWrap/>
        <w:overflowPunct/>
        <w:topLinePunct w:val="0"/>
        <w:bidi w:val="0"/>
        <w:spacing w:before="0" w:beforeAutospacing="0" w:after="0" w:afterAutospacing="0" w:line="500" w:lineRule="exact"/>
        <w:ind w:firstLine="600" w:firstLineChars="250"/>
        <w:jc w:val="both"/>
        <w:textAlignment w:val="auto"/>
        <w:rPr>
          <w:highlight w:val="none"/>
        </w:rPr>
      </w:pPr>
      <w:r>
        <w:rPr>
          <w:rFonts w:hint="eastAsia"/>
          <w:highlight w:val="none"/>
        </w:rPr>
        <w:t>2</w:t>
      </w:r>
      <w:r>
        <w:rPr>
          <w:highlight w:val="none"/>
        </w:rPr>
        <w:t>7</w:t>
      </w:r>
      <w:r>
        <w:rPr>
          <w:rFonts w:hint="eastAsia"/>
          <w:highlight w:val="none"/>
        </w:rPr>
        <w:t>.3评标结果汇总完成后，除下列情形外，任何人不得修改评标结果：</w:t>
      </w:r>
    </w:p>
    <w:p w14:paraId="444A2FF1">
      <w:pPr>
        <w:pStyle w:val="69"/>
        <w:pageBreakBefore w:val="0"/>
        <w:widowControl w:val="0"/>
        <w:kinsoku/>
        <w:wordWrap/>
        <w:overflowPunct/>
        <w:topLinePunct w:val="0"/>
        <w:bidi w:val="0"/>
        <w:spacing w:before="0" w:beforeAutospacing="0" w:after="0" w:afterAutospacing="0" w:line="500" w:lineRule="exact"/>
        <w:ind w:firstLine="600" w:firstLineChars="250"/>
        <w:jc w:val="both"/>
        <w:textAlignment w:val="auto"/>
        <w:rPr>
          <w:highlight w:val="none"/>
        </w:rPr>
      </w:pPr>
      <w:r>
        <w:rPr>
          <w:rFonts w:hint="eastAsia"/>
          <w:highlight w:val="none"/>
        </w:rPr>
        <w:t>（一）分值汇总计算错误的；</w:t>
      </w:r>
    </w:p>
    <w:p w14:paraId="0B1B9174">
      <w:pPr>
        <w:pStyle w:val="69"/>
        <w:pageBreakBefore w:val="0"/>
        <w:widowControl w:val="0"/>
        <w:kinsoku/>
        <w:wordWrap/>
        <w:overflowPunct/>
        <w:topLinePunct w:val="0"/>
        <w:bidi w:val="0"/>
        <w:spacing w:before="0" w:beforeAutospacing="0" w:after="0" w:afterAutospacing="0" w:line="500" w:lineRule="exact"/>
        <w:ind w:firstLine="600" w:firstLineChars="250"/>
        <w:jc w:val="both"/>
        <w:textAlignment w:val="auto"/>
        <w:rPr>
          <w:highlight w:val="none"/>
        </w:rPr>
      </w:pPr>
      <w:r>
        <w:rPr>
          <w:rFonts w:hint="eastAsia"/>
          <w:highlight w:val="none"/>
        </w:rPr>
        <w:t>（二）分项评分超出评分标准范围的；</w:t>
      </w:r>
    </w:p>
    <w:p w14:paraId="45E31526">
      <w:pPr>
        <w:pStyle w:val="69"/>
        <w:pageBreakBefore w:val="0"/>
        <w:widowControl w:val="0"/>
        <w:kinsoku/>
        <w:wordWrap/>
        <w:overflowPunct/>
        <w:topLinePunct w:val="0"/>
        <w:bidi w:val="0"/>
        <w:spacing w:before="0" w:beforeAutospacing="0" w:after="0" w:afterAutospacing="0" w:line="500" w:lineRule="exact"/>
        <w:ind w:firstLine="600" w:firstLineChars="250"/>
        <w:jc w:val="both"/>
        <w:textAlignment w:val="auto"/>
        <w:rPr>
          <w:highlight w:val="none"/>
        </w:rPr>
      </w:pPr>
      <w:r>
        <w:rPr>
          <w:rFonts w:hint="eastAsia"/>
          <w:highlight w:val="none"/>
        </w:rPr>
        <w:t>（三）评标委员会成员对客观评审因素评分不一致的；</w:t>
      </w:r>
    </w:p>
    <w:p w14:paraId="46B4BC2F">
      <w:pPr>
        <w:pStyle w:val="69"/>
        <w:pageBreakBefore w:val="0"/>
        <w:widowControl w:val="0"/>
        <w:kinsoku/>
        <w:wordWrap/>
        <w:overflowPunct/>
        <w:topLinePunct w:val="0"/>
        <w:bidi w:val="0"/>
        <w:spacing w:before="0" w:beforeAutospacing="0" w:after="0" w:afterAutospacing="0" w:line="500" w:lineRule="exact"/>
        <w:ind w:firstLine="600" w:firstLineChars="250"/>
        <w:jc w:val="both"/>
        <w:textAlignment w:val="auto"/>
        <w:rPr>
          <w:highlight w:val="none"/>
        </w:rPr>
      </w:pPr>
      <w:r>
        <w:rPr>
          <w:rFonts w:hint="eastAsia"/>
          <w:highlight w:val="none"/>
        </w:rPr>
        <w:t>（四）经评标委员会认定评分畸高、畸低的。</w:t>
      </w:r>
    </w:p>
    <w:p w14:paraId="1E2BC2BC">
      <w:pPr>
        <w:pStyle w:val="30"/>
        <w:pageBreakBefore w:val="0"/>
        <w:kinsoku/>
        <w:wordWrap/>
        <w:overflowPunct/>
        <w:topLinePunct w:val="0"/>
        <w:bidi w:val="0"/>
        <w:spacing w:after="0" w:line="500" w:lineRule="exact"/>
        <w:ind w:firstLine="600" w:firstLineChars="250"/>
        <w:textAlignment w:val="auto"/>
        <w:rPr>
          <w:rFonts w:ascii="宋体" w:hAnsi="宋体"/>
          <w:highlight w:val="none"/>
        </w:rPr>
      </w:pPr>
      <w:r>
        <w:rPr>
          <w:rFonts w:hint="eastAsia" w:ascii="宋体" w:hAnsi="宋体"/>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0A939842">
      <w:pPr>
        <w:pStyle w:val="30"/>
        <w:pageBreakBefore w:val="0"/>
        <w:tabs>
          <w:tab w:val="left" w:pos="955"/>
        </w:tabs>
        <w:kinsoku/>
        <w:wordWrap/>
        <w:overflowPunct/>
        <w:topLinePunct w:val="0"/>
        <w:bidi w:val="0"/>
        <w:spacing w:after="0" w:line="500" w:lineRule="exact"/>
        <w:ind w:left="1146" w:leftChars="273" w:hanging="573" w:hangingChars="238"/>
        <w:textAlignment w:val="auto"/>
        <w:rPr>
          <w:rFonts w:ascii="宋体" w:hAnsi="宋体" w:cs="宋体"/>
          <w:b/>
          <w:bCs/>
          <w:highlight w:val="none"/>
        </w:rPr>
      </w:pPr>
      <w:r>
        <w:rPr>
          <w:rFonts w:ascii="宋体" w:hAnsi="宋体" w:cs="宋体"/>
          <w:b/>
          <w:bCs/>
          <w:highlight w:val="none"/>
        </w:rPr>
        <w:t>28.</w:t>
      </w:r>
      <w:r>
        <w:rPr>
          <w:rFonts w:hint="eastAsia" w:ascii="宋体" w:hAnsi="宋体" w:cs="宋体"/>
          <w:b/>
          <w:bCs/>
          <w:highlight w:val="none"/>
        </w:rPr>
        <w:t>政府采购政策</w:t>
      </w:r>
    </w:p>
    <w:p w14:paraId="4BFF6C44">
      <w:pPr>
        <w:pStyle w:val="30"/>
        <w:pageBreakBefore w:val="0"/>
        <w:tabs>
          <w:tab w:val="left" w:pos="955"/>
        </w:tabs>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28.1 中小企业优惠办法</w:t>
      </w:r>
    </w:p>
    <w:p w14:paraId="160B93A2">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28.1.1根据《财政部工业和信息化部关于印发&lt;政府采购促进中小企业发展管理办法&gt;的通知》</w:t>
      </w:r>
      <w:r>
        <w:rPr>
          <w:rFonts w:hint="eastAsia" w:ascii="宋体" w:hAnsi="宋体" w:eastAsia="宋体" w:cs="宋体"/>
          <w:snapToGrid w:val="0"/>
          <w:sz w:val="24"/>
          <w:szCs w:val="24"/>
          <w:highlight w:val="none"/>
          <w:lang w:eastAsia="zh-CN"/>
        </w:rPr>
        <w:t>（</w:t>
      </w:r>
      <w:r>
        <w:rPr>
          <w:rFonts w:hint="eastAsia" w:ascii="宋体" w:hAnsi="宋体" w:eastAsia="宋体" w:cs="宋体"/>
          <w:snapToGrid w:val="0"/>
          <w:sz w:val="24"/>
          <w:szCs w:val="24"/>
          <w:highlight w:val="none"/>
        </w:rPr>
        <w:t>财库〔2020〕46号</w:t>
      </w:r>
      <w:r>
        <w:rPr>
          <w:rFonts w:hint="eastAsia" w:ascii="宋体" w:hAnsi="宋体" w:eastAsia="宋体" w:cs="宋体"/>
          <w:snapToGrid w:val="0"/>
          <w:sz w:val="24"/>
          <w:szCs w:val="24"/>
          <w:highlight w:val="none"/>
          <w:lang w:eastAsia="zh-CN"/>
        </w:rPr>
        <w:t>）</w:t>
      </w:r>
      <w:r>
        <w:rPr>
          <w:rFonts w:hint="eastAsia" w:ascii="宋体" w:hAnsi="宋体" w:eastAsia="宋体" w:cs="宋体"/>
          <w:snapToGrid w:val="0"/>
          <w:sz w:val="24"/>
          <w:szCs w:val="24"/>
          <w:highlight w:val="none"/>
        </w:rPr>
        <w:t>文件 及《关于进一步加大政府采购支持中小企业力度的通知》（财库〔2022〕19号）文件、《山东省财政厅关于落实政府采购支持中小企业发展有关政策措施的通知》（鲁财采〔2022〕12号）文件的规定，对符合本办法规定的小微企业报价给予</w:t>
      </w:r>
      <w:r>
        <w:rPr>
          <w:rFonts w:hint="eastAsia" w:ascii="宋体" w:hAnsi="宋体" w:eastAsia="宋体" w:cs="宋体"/>
          <w:snapToGrid w:val="0"/>
          <w:sz w:val="24"/>
          <w:szCs w:val="24"/>
          <w:highlight w:val="none"/>
          <w:lang w:val="en-US" w:eastAsia="zh-CN"/>
        </w:rPr>
        <w:t>10</w:t>
      </w:r>
      <w:r>
        <w:rPr>
          <w:rFonts w:hint="eastAsia" w:ascii="宋体" w:hAnsi="宋体" w:eastAsia="宋体" w:cs="宋体"/>
          <w:snapToGrid w:val="0"/>
          <w:sz w:val="24"/>
          <w:szCs w:val="24"/>
          <w:highlight w:val="none"/>
        </w:rPr>
        <w:t>%的扣除，用扣除后的价格参加评审；接受大中型企业与小微企业组成联合体或者允许大中型企业向一家或者多家小微企业分包的采购项目，对于联合协议或者分包意向协议约定小微企业的合同份额占到合同总金额</w:t>
      </w:r>
      <w:r>
        <w:rPr>
          <w:rFonts w:hint="eastAsia" w:ascii="宋体" w:hAnsi="宋体" w:eastAsia="宋体" w:cs="宋体"/>
          <w:snapToGrid w:val="0"/>
          <w:sz w:val="24"/>
          <w:szCs w:val="24"/>
          <w:highlight w:val="none"/>
          <w:lang w:val="en-US" w:eastAsia="zh-CN"/>
        </w:rPr>
        <w:t>45</w:t>
      </w:r>
      <w:r>
        <w:rPr>
          <w:rFonts w:hint="eastAsia" w:ascii="宋体" w:hAnsi="宋体" w:eastAsia="宋体" w:cs="宋体"/>
          <w:snapToGrid w:val="0"/>
          <w:sz w:val="24"/>
          <w:szCs w:val="24"/>
          <w:highlight w:val="none"/>
        </w:rPr>
        <w:t>%以上的，采购人、采购代理机构应当对联合体或者大中型企业的报价给予</w:t>
      </w:r>
      <w:r>
        <w:rPr>
          <w:rFonts w:hint="eastAsia" w:ascii="宋体" w:hAnsi="宋体" w:eastAsia="宋体" w:cs="宋体"/>
          <w:snapToGrid w:val="0"/>
          <w:sz w:val="24"/>
          <w:szCs w:val="24"/>
          <w:highlight w:val="none"/>
          <w:lang w:val="en-US" w:eastAsia="zh-CN"/>
        </w:rPr>
        <w:t>4</w:t>
      </w:r>
      <w:r>
        <w:rPr>
          <w:rFonts w:hint="eastAsia" w:ascii="宋体" w:hAnsi="宋体" w:eastAsia="宋体" w:cs="宋体"/>
          <w:snapToGrid w:val="0"/>
          <w:sz w:val="24"/>
          <w:szCs w:val="24"/>
          <w:highlight w:val="none"/>
        </w:rPr>
        <w:t>%的扣除，用扣除后的价格参加评审。</w:t>
      </w:r>
    </w:p>
    <w:p w14:paraId="6724E706">
      <w:pPr>
        <w:pStyle w:val="30"/>
        <w:pageBreakBefore w:val="0"/>
        <w:kinsoku/>
        <w:wordWrap/>
        <w:overflowPunct/>
        <w:topLinePunct w:val="0"/>
        <w:bidi w:val="0"/>
        <w:adjustRightInd w:val="0"/>
        <w:snapToGrid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28.1.2按照《关于印发中小企业划型标准规定的通知》（工信部联企业〔2011〕300号）规定，上述小微企业应为依据中小企业划分标准确定的小型企业和微型企业，但与大企业的负责人为同一人，或者与大企业存在直接控股、管理关系的除外。</w:t>
      </w:r>
    </w:p>
    <w:p w14:paraId="64EDEA7B">
      <w:pPr>
        <w:pStyle w:val="30"/>
        <w:pageBreakBefore w:val="0"/>
        <w:kinsoku/>
        <w:wordWrap/>
        <w:overflowPunct/>
        <w:topLinePunct w:val="0"/>
        <w:bidi w:val="0"/>
        <w:adjustRightInd w:val="0"/>
        <w:snapToGrid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28.1.3供应商提供的货物、工程或者服务符合下列情形，享受上述小微企业价格扣除的优惠政策：</w:t>
      </w:r>
    </w:p>
    <w:p w14:paraId="53894F64">
      <w:pPr>
        <w:pageBreakBefore w:val="0"/>
        <w:kinsoku/>
        <w:wordWrap/>
        <w:overflowPunct/>
        <w:topLinePunct w:val="0"/>
        <w:bidi w:val="0"/>
        <w:adjustRightInd w:val="0"/>
        <w:snapToGrid w:val="0"/>
        <w:spacing w:line="500" w:lineRule="exact"/>
        <w:ind w:left="0" w:leftChars="0" w:firstLine="480" w:firstLineChars="200"/>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（一）在货物采购项目中，货物由小微企业制造，即货物由小微企业生产且使用该小微企业商号或者注册商标；</w:t>
      </w:r>
    </w:p>
    <w:p w14:paraId="0C89A915">
      <w:pPr>
        <w:pageBreakBefore w:val="0"/>
        <w:kinsoku/>
        <w:wordWrap/>
        <w:overflowPunct/>
        <w:topLinePunct w:val="0"/>
        <w:bidi w:val="0"/>
        <w:adjustRightInd w:val="0"/>
        <w:snapToGrid w:val="0"/>
        <w:spacing w:line="500" w:lineRule="exact"/>
        <w:ind w:left="0" w:leftChars="0" w:firstLine="480" w:firstLineChars="200"/>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（二）在工程采购项目中，工程由小微企业承建，即工程施工单位为小微企业；</w:t>
      </w:r>
    </w:p>
    <w:p w14:paraId="3584F93E">
      <w:pPr>
        <w:pageBreakBefore w:val="0"/>
        <w:kinsoku/>
        <w:wordWrap/>
        <w:overflowPunct/>
        <w:topLinePunct w:val="0"/>
        <w:bidi w:val="0"/>
        <w:adjustRightInd w:val="0"/>
        <w:snapToGrid w:val="0"/>
        <w:spacing w:line="500" w:lineRule="exact"/>
        <w:ind w:left="0" w:leftChars="0" w:firstLine="480" w:firstLineChars="200"/>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（三）在服务采购项目中，服务由小微企业承接，即提供服务的人员为小微企业依照《中华人民共和国劳动合同法》订立劳动合同的从业人员。</w:t>
      </w:r>
    </w:p>
    <w:p w14:paraId="7621F114">
      <w:pPr>
        <w:pageBreakBefore w:val="0"/>
        <w:kinsoku/>
        <w:wordWrap/>
        <w:overflowPunct/>
        <w:topLinePunct w:val="0"/>
        <w:bidi w:val="0"/>
        <w:adjustRightInd w:val="0"/>
        <w:snapToGrid w:val="0"/>
        <w:spacing w:line="500" w:lineRule="exact"/>
        <w:ind w:left="0" w:leftChars="0" w:firstLine="480" w:firstLineChars="200"/>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28.1.4依据《财政部工业和信息化部关于印发&lt;政府采购促进中小企业发展管理办法&gt;的通知》</w:t>
      </w:r>
      <w:r>
        <w:rPr>
          <w:rFonts w:hint="eastAsia" w:ascii="宋体" w:hAnsi="宋体" w:eastAsia="宋体" w:cs="宋体"/>
          <w:snapToGrid w:val="0"/>
          <w:kern w:val="0"/>
          <w:sz w:val="24"/>
          <w:szCs w:val="24"/>
          <w:highlight w:val="none"/>
          <w:lang w:eastAsia="zh-CN"/>
        </w:rPr>
        <w:t>（</w:t>
      </w:r>
      <w:r>
        <w:rPr>
          <w:rFonts w:hint="eastAsia" w:ascii="宋体" w:hAnsi="宋体" w:eastAsia="宋体" w:cs="宋体"/>
          <w:snapToGrid w:val="0"/>
          <w:kern w:val="0"/>
          <w:sz w:val="24"/>
          <w:szCs w:val="24"/>
          <w:highlight w:val="none"/>
        </w:rPr>
        <w:t>财库〔2020〕46号</w:t>
      </w:r>
      <w:r>
        <w:rPr>
          <w:rFonts w:hint="eastAsia" w:ascii="宋体" w:hAnsi="宋体" w:eastAsia="宋体" w:cs="宋体"/>
          <w:snapToGrid w:val="0"/>
          <w:kern w:val="0"/>
          <w:sz w:val="24"/>
          <w:szCs w:val="24"/>
          <w:highlight w:val="none"/>
          <w:lang w:eastAsia="zh-CN"/>
        </w:rPr>
        <w:t>）</w:t>
      </w:r>
      <w:r>
        <w:rPr>
          <w:rFonts w:hint="eastAsia" w:ascii="宋体" w:hAnsi="宋体" w:eastAsia="宋体" w:cs="宋体"/>
          <w:snapToGrid w:val="0"/>
          <w:kern w:val="0"/>
          <w:sz w:val="24"/>
          <w:szCs w:val="24"/>
          <w:highlight w:val="none"/>
        </w:rPr>
        <w:t>规定，中型、小型和微型企业投标的须提供《中小企业声明函》（格式见附件）并对声明函的真实性负责；如果联合体各方均为小型、微型企业的，联合体视同为小型、微型企业，但联合体各方均应按招标文件要求提供《中小企业声明函》。</w:t>
      </w:r>
    </w:p>
    <w:p w14:paraId="552F23AD">
      <w:pPr>
        <w:pageBreakBefore w:val="0"/>
        <w:kinsoku/>
        <w:wordWrap/>
        <w:overflowPunct/>
        <w:topLinePunct w:val="0"/>
        <w:bidi w:val="0"/>
        <w:adjustRightInd w:val="0"/>
        <w:snapToGrid w:val="0"/>
        <w:spacing w:line="500" w:lineRule="exact"/>
        <w:ind w:left="0" w:leftChars="0" w:firstLine="480" w:firstLineChars="200"/>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28.1.5在货物采购项目中，供应商提供的货物既有小微企业制造货物，也有大中型企业制造的，不享受本办法规定的小微企业价格优惠政策。</w:t>
      </w:r>
    </w:p>
    <w:p w14:paraId="393289AE">
      <w:pPr>
        <w:pageBreakBefore w:val="0"/>
        <w:kinsoku/>
        <w:wordWrap/>
        <w:overflowPunct/>
        <w:topLinePunct w:val="0"/>
        <w:bidi w:val="0"/>
        <w:adjustRightInd w:val="0"/>
        <w:snapToGrid w:val="0"/>
        <w:spacing w:line="500" w:lineRule="exact"/>
        <w:ind w:left="0" w:leftChars="0" w:firstLine="480" w:firstLineChars="200"/>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28.1.6以联合体形式参加政府采购活动，联合体各方均为中小企业的，联合体视同中小企业。其中，联合体各方均为小微企业的，联合体视同小微企业。</w:t>
      </w:r>
      <w:r>
        <w:rPr>
          <w:rFonts w:hint="eastAsia" w:ascii="宋体" w:hAnsi="宋体" w:eastAsia="宋体" w:cs="宋体"/>
          <w:sz w:val="24"/>
          <w:szCs w:val="24"/>
          <w:highlight w:val="none"/>
        </w:rPr>
        <w:t>组成联合体或者接受分包的小微企业与联合体内其他企业、分包企业之间存在直接控股、管理关系的，不享受价格扣除优惠政策。</w:t>
      </w:r>
    </w:p>
    <w:p w14:paraId="47E0C4DF">
      <w:pPr>
        <w:pageBreakBefore w:val="0"/>
        <w:kinsoku/>
        <w:wordWrap/>
        <w:overflowPunct/>
        <w:topLinePunct w:val="0"/>
        <w:bidi w:val="0"/>
        <w:adjustRightInd w:val="0"/>
        <w:snapToGrid w:val="0"/>
        <w:spacing w:line="500" w:lineRule="exact"/>
        <w:ind w:left="0" w:leftChars="0" w:firstLine="480" w:firstLineChars="200"/>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28.1.7中标、成交供应商享受本办法规定的中小企业扶持政策的，采购人、采购代理机构应当随中标、成交结果公开中标、成交供应商的《中小企业声明函》。供应商</w:t>
      </w:r>
      <w:r>
        <w:rPr>
          <w:rFonts w:hint="eastAsia" w:ascii="宋体" w:hAnsi="宋体" w:eastAsia="宋体" w:cs="宋体"/>
          <w:sz w:val="24"/>
          <w:szCs w:val="24"/>
          <w:highlight w:val="none"/>
        </w:rPr>
        <w:t>提供声明函内容不实的，属于提供虚假材料谋取中标、成交，依照《中华人民共和国政府采购法》等国家有关规定追究相应责任。</w:t>
      </w:r>
    </w:p>
    <w:p w14:paraId="69D54212">
      <w:pPr>
        <w:pageBreakBefore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28.2 政府采购支持监狱企业发展的政策</w:t>
      </w:r>
    </w:p>
    <w:p w14:paraId="3A79FE01">
      <w:pPr>
        <w:pageBreakBefore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1）根据山东省司法厅《关于转发财政部司法部&lt;关于政府采购支持监狱企业发展有关问题的通知&gt;的通知》（鲁财采〔2014〕33号）文件</w:t>
      </w:r>
      <w:r>
        <w:rPr>
          <w:rFonts w:hint="eastAsia" w:ascii="宋体" w:hAnsi="宋体" w:eastAsia="宋体" w:cs="宋体"/>
          <w:snapToGrid w:val="0"/>
          <w:kern w:val="0"/>
          <w:sz w:val="24"/>
          <w:szCs w:val="24"/>
          <w:highlight w:val="none"/>
          <w:lang w:eastAsia="zh-CN"/>
        </w:rPr>
        <w:t>及山东省财政厅最新政策文件</w:t>
      </w:r>
      <w:r>
        <w:rPr>
          <w:rFonts w:hint="eastAsia" w:ascii="宋体" w:hAnsi="宋体" w:eastAsia="宋体" w:cs="宋体"/>
          <w:snapToGrid w:val="0"/>
          <w:kern w:val="0"/>
          <w:sz w:val="24"/>
          <w:szCs w:val="24"/>
          <w:highlight w:val="none"/>
        </w:rPr>
        <w:t>规定，对监狱企业生产的产品价格或提供服务的价格给予</w:t>
      </w:r>
      <w:r>
        <w:rPr>
          <w:rFonts w:hint="eastAsia" w:ascii="宋体" w:hAnsi="宋体" w:eastAsia="宋体" w:cs="宋体"/>
          <w:snapToGrid w:val="0"/>
          <w:kern w:val="0"/>
          <w:sz w:val="24"/>
          <w:szCs w:val="24"/>
          <w:highlight w:val="none"/>
          <w:lang w:val="en-US" w:eastAsia="zh-CN"/>
        </w:rPr>
        <w:t>10</w:t>
      </w:r>
      <w:r>
        <w:rPr>
          <w:rFonts w:hint="eastAsia" w:ascii="宋体" w:hAnsi="宋体" w:eastAsia="宋体" w:cs="宋体"/>
          <w:snapToGrid w:val="0"/>
          <w:kern w:val="0"/>
          <w:sz w:val="24"/>
          <w:szCs w:val="24"/>
          <w:highlight w:val="none"/>
        </w:rPr>
        <w:t>%的价格扣除，用扣除后的价格参与评审；监狱企业属于小型、微型企业的，不重复享受政策。</w:t>
      </w:r>
    </w:p>
    <w:p w14:paraId="6982680F">
      <w:pPr>
        <w:pageBreakBefore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2）参加政府采购活动的监狱企业应当在投标文件中提供监狱企业证明复印件，否则不予认定。监狱企业证明须由省级或以上监狱管理局、戒毒管理局（含新疆生产建设兵团）出具。</w:t>
      </w:r>
    </w:p>
    <w:p w14:paraId="45C24F3A">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28.3 促进残疾人就业政府采购政策</w:t>
      </w:r>
    </w:p>
    <w:p w14:paraId="71793842">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1）依据《三部门联合发布关于促进残疾人就业政府采购政策的通知》</w:t>
      </w:r>
      <w:r>
        <w:rPr>
          <w:rFonts w:hint="eastAsia" w:ascii="宋体" w:hAnsi="宋体" w:eastAsia="宋体" w:cs="宋体"/>
          <w:snapToGrid w:val="0"/>
          <w:sz w:val="24"/>
          <w:szCs w:val="24"/>
          <w:highlight w:val="none"/>
          <w:lang w:eastAsia="zh-CN"/>
        </w:rPr>
        <w:t>（</w:t>
      </w:r>
      <w:r>
        <w:rPr>
          <w:rFonts w:hint="eastAsia" w:ascii="宋体" w:hAnsi="宋体" w:eastAsia="宋体" w:cs="宋体"/>
          <w:snapToGrid w:val="0"/>
          <w:sz w:val="24"/>
          <w:szCs w:val="24"/>
          <w:highlight w:val="none"/>
        </w:rPr>
        <w:t>财库〔2017〕141号</w:t>
      </w:r>
      <w:r>
        <w:rPr>
          <w:rFonts w:hint="eastAsia" w:ascii="宋体" w:hAnsi="宋体" w:eastAsia="宋体" w:cs="宋体"/>
          <w:snapToGrid w:val="0"/>
          <w:sz w:val="24"/>
          <w:szCs w:val="24"/>
          <w:highlight w:val="none"/>
          <w:lang w:eastAsia="zh-CN"/>
        </w:rPr>
        <w:t>）</w:t>
      </w:r>
      <w:r>
        <w:rPr>
          <w:rFonts w:hint="eastAsia" w:ascii="宋体" w:hAnsi="宋体" w:eastAsia="宋体" w:cs="宋体"/>
          <w:snapToGrid w:val="0"/>
          <w:sz w:val="24"/>
          <w:szCs w:val="24"/>
          <w:highlight w:val="none"/>
        </w:rPr>
        <w:t>文件规定，残疾人福利性单位视同小型、微型企业，对残疾人福利性单位的报价给予10%的扣除，用扣除后的评标价格参与价格得分的计算及评审；残疾人福利性单位属于小型、微型企业的，不重复享受政策。</w:t>
      </w:r>
    </w:p>
    <w:p w14:paraId="56B8B4C7">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2) 残疾人福利性单位评标价格的计算：残疾人福利性单位的评标价格=投标报价×（1—扣除比例）。</w:t>
      </w:r>
    </w:p>
    <w:p w14:paraId="7EA54C57">
      <w:pPr>
        <w:pageBreakBefore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3）享受政府采购支持政策的残疾人福利性单位应当同时满足以下条件：</w:t>
      </w:r>
    </w:p>
    <w:p w14:paraId="68A2755A">
      <w:pPr>
        <w:pageBreakBefore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sym w:font="Wingdings" w:char="F081"/>
      </w:r>
      <w:r>
        <w:rPr>
          <w:rFonts w:hint="eastAsia" w:ascii="宋体" w:hAnsi="宋体" w:eastAsia="宋体" w:cs="宋体"/>
          <w:snapToGrid w:val="0"/>
          <w:kern w:val="0"/>
          <w:sz w:val="24"/>
          <w:szCs w:val="24"/>
          <w:highlight w:val="none"/>
        </w:rPr>
        <w:t>安置的残疾人占本单位在职职工人数的比例不低于25%（含25%），并且安置的残疾人人数不少于10人（含10人）；</w:t>
      </w:r>
    </w:p>
    <w:p w14:paraId="2B53637B">
      <w:pPr>
        <w:pageBreakBefore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sym w:font="Wingdings" w:char="F082"/>
      </w:r>
      <w:r>
        <w:rPr>
          <w:rFonts w:hint="eastAsia" w:ascii="宋体" w:hAnsi="宋体" w:eastAsia="宋体" w:cs="宋体"/>
          <w:snapToGrid w:val="0"/>
          <w:kern w:val="0"/>
          <w:sz w:val="24"/>
          <w:szCs w:val="24"/>
          <w:highlight w:val="none"/>
        </w:rPr>
        <w:t>依法与安置的每位残疾人签订了一年以上（含一年）的劳动合同或服务协议；</w:t>
      </w:r>
    </w:p>
    <w:p w14:paraId="4590CF3B">
      <w:pPr>
        <w:pageBreakBefore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sym w:font="Wingdings" w:char="F083"/>
      </w:r>
      <w:r>
        <w:rPr>
          <w:rFonts w:hint="eastAsia" w:ascii="宋体" w:hAnsi="宋体" w:eastAsia="宋体" w:cs="宋体"/>
          <w:snapToGrid w:val="0"/>
          <w:kern w:val="0"/>
          <w:sz w:val="24"/>
          <w:szCs w:val="24"/>
          <w:highlight w:val="none"/>
        </w:rPr>
        <w:t>为安置的每位残疾人按月足额缴纳了基本养老保险、基本医疗保险、失业保险、工伤保险和生育保险等社会保险费；</w:t>
      </w:r>
    </w:p>
    <w:p w14:paraId="5D6F8136">
      <w:pPr>
        <w:pageBreakBefore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④通过银行等金融机构向安置的每位残疾人，按月支付了不低于单位所在区县适用的经省级人民政府批准的月最低工资标准的工资；</w:t>
      </w:r>
    </w:p>
    <w:p w14:paraId="4237C8E0">
      <w:pPr>
        <w:pageBreakBefore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⑤提供本单位制造的货物、承担的工程或者服务（以下简称产品），或者提供其他残疾人福利性单位制造的货物（不包括使用非残疾人福利性单位注册商标的货物）。</w:t>
      </w:r>
    </w:p>
    <w:p w14:paraId="4073BD77">
      <w:pPr>
        <w:pageBreakBefore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9C633A4">
      <w:pPr>
        <w:pageBreakBefore w:val="0"/>
        <w:kinsoku/>
        <w:wordWrap/>
        <w:overflowPunct/>
        <w:topLinePunct w:val="0"/>
        <w:bidi w:val="0"/>
        <w:spacing w:line="500" w:lineRule="exact"/>
        <w:ind w:left="0" w:leftChars="0" w:firstLine="480" w:firstLineChars="200"/>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4）符合条件的残疾人福利性单位在参加政府采购活动时，应当提供《残疾人福利性单位声明函》（见附件），并对声明的真实性负责。</w:t>
      </w:r>
    </w:p>
    <w:p w14:paraId="797DB418">
      <w:pPr>
        <w:pageBreakBefore w:val="0"/>
        <w:kinsoku/>
        <w:wordWrap/>
        <w:overflowPunct/>
        <w:topLinePunct w:val="0"/>
        <w:bidi w:val="0"/>
        <w:spacing w:line="500" w:lineRule="exact"/>
        <w:ind w:left="0" w:leftChars="0" w:firstLine="480" w:firstLineChars="200"/>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5）中标、成交供应商为残疾人福利性单位的，采购代理机构应当随中标、成交结果同时公告其《残疾人福利性单位声明函》，接受社会监督。</w:t>
      </w:r>
    </w:p>
    <w:p w14:paraId="573FF438">
      <w:pPr>
        <w:pageBreakBefore w:val="0"/>
        <w:kinsoku/>
        <w:wordWrap/>
        <w:overflowPunct/>
        <w:topLinePunct w:val="0"/>
        <w:bidi w:val="0"/>
        <w:spacing w:line="500" w:lineRule="exact"/>
        <w:ind w:left="0" w:leftChars="0" w:firstLine="480" w:firstLineChars="200"/>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6）投标人提供的《残疾人福利性单位声明函》与事实不符的，依照《政府采购法》第七十七条第一款的规定追究法律责任。</w:t>
      </w:r>
    </w:p>
    <w:p w14:paraId="4589A923">
      <w:pPr>
        <w:pageBreakBefore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28.4 环保节能产品执行政府采购优惠政策</w:t>
      </w:r>
    </w:p>
    <w:p w14:paraId="4FEB582D">
      <w:pPr>
        <w:pageBreakBefore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eastAsia" w:ascii="宋体" w:hAnsi="宋体" w:eastAsia="宋体" w:cs="宋体"/>
          <w:snapToGrid w:val="0"/>
          <w:color w:val="7030A0"/>
          <w:kern w:val="0"/>
          <w:sz w:val="24"/>
          <w:szCs w:val="24"/>
          <w:highlight w:val="none"/>
        </w:rPr>
      </w:pPr>
      <w:r>
        <w:rPr>
          <w:rFonts w:hint="eastAsia" w:ascii="宋体" w:hAnsi="宋体" w:eastAsia="宋体" w:cs="宋体"/>
          <w:snapToGrid w:val="0"/>
          <w:kern w:val="0"/>
          <w:sz w:val="24"/>
          <w:szCs w:val="24"/>
          <w:highlight w:val="none"/>
        </w:rPr>
        <w:t>28.4.1 供应商所报</w:t>
      </w:r>
      <w:r>
        <w:rPr>
          <w:rFonts w:hint="eastAsia" w:ascii="宋体" w:hAnsi="宋体" w:eastAsia="宋体" w:cs="宋体"/>
          <w:snapToGrid w:val="0"/>
          <w:kern w:val="0"/>
          <w:sz w:val="24"/>
          <w:szCs w:val="24"/>
          <w:highlight w:val="none"/>
          <w:lang w:eastAsia="zh-CN"/>
        </w:rPr>
        <w:t>货物</w:t>
      </w:r>
      <w:r>
        <w:rPr>
          <w:rFonts w:hint="eastAsia" w:ascii="宋体" w:hAnsi="宋体" w:eastAsia="宋体" w:cs="宋体"/>
          <w:snapToGrid w:val="0"/>
          <w:kern w:val="0"/>
          <w:sz w:val="24"/>
          <w:szCs w:val="24"/>
          <w:highlight w:val="none"/>
        </w:rPr>
        <w:t>（产品）属于《环境标志产品政府采购品目清单》（《财政部 生态环境部关于印发环境标志产品政府采购品目清单的通知》（财库〔2019〕18号））、《节能产品政府采购品目清单》（财政部 发展改革委《关于印发节能产品政府采购品目清单的通知》</w:t>
      </w:r>
      <w:r>
        <w:rPr>
          <w:rFonts w:hint="eastAsia" w:ascii="宋体" w:hAnsi="宋体" w:eastAsia="宋体" w:cs="宋体"/>
          <w:snapToGrid w:val="0"/>
          <w:kern w:val="0"/>
          <w:sz w:val="24"/>
          <w:szCs w:val="24"/>
          <w:highlight w:val="none"/>
          <w:lang w:eastAsia="zh-CN"/>
        </w:rPr>
        <w:t>）</w:t>
      </w:r>
      <w:r>
        <w:rPr>
          <w:rFonts w:hint="eastAsia" w:ascii="宋体" w:hAnsi="宋体" w:eastAsia="宋体" w:cs="宋体"/>
          <w:snapToGrid w:val="0"/>
          <w:kern w:val="0"/>
          <w:sz w:val="24"/>
          <w:szCs w:val="24"/>
          <w:highlight w:val="none"/>
        </w:rPr>
        <w:t>（财库〔2019〕19号）内的环保、节能产品的，应在投标文件显著位置列出某项/某些产品属于节能、环保产品，并列明节能、环保产品的生产厂家及产品品牌、型号等；同时，在节能环保产品报价表后，附经市场监管总局公布的认证机构出具的有效的国家节能产品认证证书或中国环境标志产品认证证书，否则，可能会导致所投报的节能环保产品因无法认定而不给予政府采购政策优惠（评审加分或价格扣除）。★</w:t>
      </w:r>
      <w:r>
        <w:rPr>
          <w:rFonts w:hint="eastAsia" w:ascii="宋体" w:hAnsi="宋体" w:eastAsia="宋体" w:cs="宋体"/>
          <w:b/>
          <w:snapToGrid w:val="0"/>
          <w:kern w:val="0"/>
          <w:sz w:val="24"/>
          <w:szCs w:val="24"/>
          <w:highlight w:val="none"/>
        </w:rPr>
        <w:t>其中，所报产品为政府强制采购产品的（《节能产品政府采购品目清单》中以“★”标注的产品品目）而未提供国家节能产品认证证书的，按无效投标处理。</w:t>
      </w:r>
    </w:p>
    <w:p w14:paraId="63CFAC13">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28.4.2 节能环保产品优惠办法</w:t>
      </w:r>
    </w:p>
    <w:p w14:paraId="48A35B1A">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采用综合评分法评标时，在满足基本技术条件的前提下，在价格评标项中，对节能、环保产品分别给予价格评标总分值的</w:t>
      </w:r>
      <w:r>
        <w:rPr>
          <w:rFonts w:hint="eastAsia" w:ascii="宋体" w:hAnsi="宋体" w:eastAsia="宋体" w:cs="宋体"/>
          <w:snapToGrid w:val="0"/>
          <w:sz w:val="24"/>
          <w:szCs w:val="24"/>
          <w:highlight w:val="none"/>
          <w:lang w:val="en-US" w:eastAsia="zh-CN"/>
        </w:rPr>
        <w:t>5</w:t>
      </w:r>
      <w:r>
        <w:rPr>
          <w:rFonts w:hint="eastAsia" w:ascii="宋体" w:hAnsi="宋体" w:eastAsia="宋体" w:cs="宋体"/>
          <w:snapToGrid w:val="0"/>
          <w:sz w:val="24"/>
          <w:szCs w:val="24"/>
          <w:highlight w:val="none"/>
        </w:rPr>
        <w:t>%</w:t>
      </w:r>
      <w:r>
        <w:rPr>
          <w:rFonts w:hint="eastAsia" w:ascii="宋体" w:hAnsi="宋体" w:eastAsia="宋体" w:cs="宋体"/>
          <w:snapToGrid w:val="0"/>
          <w:sz w:val="24"/>
          <w:szCs w:val="24"/>
          <w:highlight w:val="none"/>
          <w:lang w:eastAsia="zh-CN"/>
        </w:rPr>
        <w:t>—</w:t>
      </w:r>
      <w:r>
        <w:rPr>
          <w:rFonts w:hint="eastAsia" w:ascii="宋体" w:hAnsi="宋体" w:eastAsia="宋体" w:cs="宋体"/>
          <w:snapToGrid w:val="0"/>
          <w:sz w:val="24"/>
          <w:szCs w:val="24"/>
          <w:highlight w:val="none"/>
          <w:lang w:val="en-US" w:eastAsia="zh-CN"/>
        </w:rPr>
        <w:t>10</w:t>
      </w:r>
      <w:r>
        <w:rPr>
          <w:rFonts w:hint="eastAsia" w:ascii="宋体" w:hAnsi="宋体" w:eastAsia="宋体" w:cs="宋体"/>
          <w:snapToGrid w:val="0"/>
          <w:sz w:val="24"/>
          <w:szCs w:val="24"/>
          <w:highlight w:val="none"/>
        </w:rPr>
        <w:t>%幅度不等的加分，在技术评标项中，分别给予技术评标总分值的</w:t>
      </w:r>
      <w:r>
        <w:rPr>
          <w:rFonts w:hint="eastAsia" w:ascii="宋体" w:hAnsi="宋体" w:eastAsia="宋体" w:cs="宋体"/>
          <w:snapToGrid w:val="0"/>
          <w:sz w:val="24"/>
          <w:szCs w:val="24"/>
          <w:highlight w:val="none"/>
          <w:lang w:val="en-US" w:eastAsia="zh-CN"/>
        </w:rPr>
        <w:t>5</w:t>
      </w:r>
      <w:r>
        <w:rPr>
          <w:rFonts w:hint="eastAsia" w:ascii="宋体" w:hAnsi="宋体" w:eastAsia="宋体" w:cs="宋体"/>
          <w:snapToGrid w:val="0"/>
          <w:sz w:val="24"/>
          <w:szCs w:val="24"/>
          <w:highlight w:val="none"/>
        </w:rPr>
        <w:t>%</w:t>
      </w:r>
      <w:r>
        <w:rPr>
          <w:rFonts w:hint="eastAsia" w:ascii="宋体" w:hAnsi="宋体" w:eastAsia="宋体" w:cs="宋体"/>
          <w:snapToGrid w:val="0"/>
          <w:sz w:val="24"/>
          <w:szCs w:val="24"/>
          <w:highlight w:val="none"/>
          <w:lang w:eastAsia="zh-CN"/>
        </w:rPr>
        <w:t>—</w:t>
      </w:r>
      <w:r>
        <w:rPr>
          <w:rFonts w:hint="eastAsia" w:ascii="宋体" w:hAnsi="宋体" w:eastAsia="宋体" w:cs="宋体"/>
          <w:snapToGrid w:val="0"/>
          <w:sz w:val="24"/>
          <w:szCs w:val="24"/>
          <w:highlight w:val="none"/>
          <w:lang w:val="en-US" w:eastAsia="zh-CN"/>
        </w:rPr>
        <w:t>10</w:t>
      </w:r>
      <w:r>
        <w:rPr>
          <w:rFonts w:hint="eastAsia" w:ascii="宋体" w:hAnsi="宋体" w:eastAsia="宋体" w:cs="宋体"/>
          <w:snapToGrid w:val="0"/>
          <w:sz w:val="24"/>
          <w:szCs w:val="24"/>
          <w:highlight w:val="none"/>
        </w:rPr>
        <w:t>%幅度不等的加分，具体加分比例见招标文件评标办法。采用最低评标价法评标时，在评审时可以对节能、环保产品分别给予</w:t>
      </w:r>
      <w:r>
        <w:rPr>
          <w:rFonts w:hint="eastAsia" w:ascii="宋体" w:hAnsi="宋体" w:eastAsia="宋体" w:cs="宋体"/>
          <w:snapToGrid w:val="0"/>
          <w:sz w:val="24"/>
          <w:szCs w:val="24"/>
          <w:highlight w:val="none"/>
          <w:lang w:eastAsia="zh-CN"/>
        </w:rPr>
        <w:t>5%-10%</w:t>
      </w:r>
      <w:r>
        <w:rPr>
          <w:rFonts w:hint="eastAsia" w:ascii="宋体" w:hAnsi="宋体" w:eastAsia="宋体" w:cs="宋体"/>
          <w:snapToGrid w:val="0"/>
          <w:sz w:val="24"/>
          <w:szCs w:val="24"/>
          <w:highlight w:val="none"/>
        </w:rPr>
        <w:t>幅度不等的价格扣除</w:t>
      </w:r>
      <w:r>
        <w:rPr>
          <w:rFonts w:hint="eastAsia" w:ascii="宋体" w:hAnsi="宋体" w:eastAsia="宋体" w:cs="宋体"/>
          <w:snapToGrid w:val="0"/>
          <w:sz w:val="24"/>
          <w:szCs w:val="24"/>
          <w:highlight w:val="none"/>
          <w:lang w:eastAsia="zh-CN"/>
        </w:rPr>
        <w:t>，</w:t>
      </w:r>
      <w:r>
        <w:rPr>
          <w:rFonts w:hint="eastAsia" w:ascii="宋体" w:hAnsi="宋体" w:eastAsia="宋体" w:cs="宋体"/>
          <w:snapToGrid w:val="0"/>
          <w:sz w:val="24"/>
          <w:szCs w:val="24"/>
          <w:highlight w:val="none"/>
        </w:rPr>
        <w:t xml:space="preserve"> 具体扣除比例见招标文件评标办法</w:t>
      </w:r>
      <w:r>
        <w:rPr>
          <w:rFonts w:hint="eastAsia" w:ascii="宋体" w:hAnsi="宋体" w:eastAsia="宋体" w:cs="宋体"/>
          <w:sz w:val="24"/>
          <w:szCs w:val="24"/>
          <w:highlight w:val="none"/>
          <w:lang w:eastAsia="zh-CN"/>
        </w:rPr>
        <w:t>。</w:t>
      </w:r>
    </w:p>
    <w:p w14:paraId="0BDD8748">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28.5执行政府采购政策对投标报价进行扣除后的评标价格仅用于评标过程的报价得分计算或评标价格的比较，不作为最终的中标价格。</w:t>
      </w:r>
    </w:p>
    <w:p w14:paraId="4E1F55DA">
      <w:pPr>
        <w:pStyle w:val="30"/>
        <w:pageBreakBefore w:val="0"/>
        <w:kinsoku/>
        <w:wordWrap/>
        <w:overflowPunct/>
        <w:topLinePunct w:val="0"/>
        <w:bidi w:val="0"/>
        <w:spacing w:after="0" w:line="500" w:lineRule="exact"/>
        <w:ind w:left="0" w:leftChars="0" w:firstLine="482" w:firstLineChars="200"/>
        <w:textAlignment w:val="auto"/>
        <w:rPr>
          <w:rFonts w:hint="eastAsia" w:ascii="宋体" w:hAnsi="宋体" w:eastAsia="宋体" w:cs="宋体"/>
          <w:b/>
          <w:bCs/>
          <w:snapToGrid w:val="0"/>
          <w:sz w:val="24"/>
          <w:szCs w:val="24"/>
          <w:highlight w:val="none"/>
        </w:rPr>
      </w:pPr>
      <w:r>
        <w:rPr>
          <w:rFonts w:hint="eastAsia" w:ascii="宋体" w:hAnsi="宋体" w:eastAsia="宋体" w:cs="宋体"/>
          <w:b/>
          <w:bCs/>
          <w:snapToGrid w:val="0"/>
          <w:sz w:val="24"/>
          <w:szCs w:val="24"/>
          <w:highlight w:val="none"/>
        </w:rPr>
        <w:t>★29.违法情形</w:t>
      </w:r>
    </w:p>
    <w:p w14:paraId="3E587E41">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供应商出现《中华人民共和国政府采购法实施条例</w:t>
      </w:r>
      <w:r>
        <w:rPr>
          <w:rFonts w:hint="eastAsia" w:ascii="宋体" w:hAnsi="宋体" w:eastAsia="宋体" w:cs="宋体"/>
          <w:snapToGrid w:val="0"/>
          <w:sz w:val="24"/>
          <w:szCs w:val="24"/>
          <w:highlight w:val="none"/>
          <w:lang w:eastAsia="zh-CN"/>
        </w:rPr>
        <w:t>》《</w:t>
      </w:r>
      <w:r>
        <w:rPr>
          <w:rFonts w:hint="eastAsia" w:ascii="宋体" w:hAnsi="宋体" w:eastAsia="宋体" w:cs="宋体"/>
          <w:snapToGrid w:val="0"/>
          <w:sz w:val="24"/>
          <w:szCs w:val="24"/>
          <w:highlight w:val="none"/>
        </w:rPr>
        <w:t>政府采购货物和服务招标投标管理办法》等规定的串通投标或影响招标的违法行为，其投标无效，采购人或评标委员会将书面报告本级财政部门，给采购人、采购代理机构造成损失的，采购人、采购代理机构有索赔的权利，供应商应予以赔偿。</w:t>
      </w:r>
    </w:p>
    <w:p w14:paraId="753A27D7">
      <w:pPr>
        <w:pStyle w:val="30"/>
        <w:pageBreakBefore w:val="0"/>
        <w:kinsoku/>
        <w:wordWrap/>
        <w:overflowPunct/>
        <w:topLinePunct w:val="0"/>
        <w:bidi w:val="0"/>
        <w:spacing w:after="0" w:line="500" w:lineRule="exact"/>
        <w:ind w:left="0" w:leftChars="0" w:firstLine="482" w:firstLineChars="200"/>
        <w:textAlignment w:val="auto"/>
        <w:rPr>
          <w:rFonts w:hint="eastAsia" w:ascii="宋体" w:hAnsi="宋体" w:eastAsia="宋体" w:cs="宋体"/>
          <w:b/>
          <w:bCs/>
          <w:snapToGrid w:val="0"/>
          <w:sz w:val="24"/>
          <w:szCs w:val="24"/>
          <w:highlight w:val="none"/>
        </w:rPr>
      </w:pPr>
      <w:r>
        <w:rPr>
          <w:rFonts w:hint="eastAsia" w:ascii="宋体" w:hAnsi="宋体" w:eastAsia="宋体" w:cs="宋体"/>
          <w:b/>
          <w:bCs/>
          <w:snapToGrid w:val="0"/>
          <w:sz w:val="24"/>
          <w:szCs w:val="24"/>
          <w:highlight w:val="none"/>
        </w:rPr>
        <w:t>30.特殊情况处置程序</w:t>
      </w:r>
    </w:p>
    <w:p w14:paraId="7547F50E">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在评标过程中，评标委员会发生分歧或者评审结论有异议需表决的，按照少数服从多数的原则，由评标委员会全体成员以记名投票方式表决。</w:t>
      </w:r>
    </w:p>
    <w:p w14:paraId="5E09010E">
      <w:pPr>
        <w:pStyle w:val="30"/>
        <w:pageBreakBefore w:val="0"/>
        <w:kinsoku/>
        <w:wordWrap/>
        <w:overflowPunct/>
        <w:topLinePunct w:val="0"/>
        <w:bidi w:val="0"/>
        <w:spacing w:after="0" w:line="500" w:lineRule="exact"/>
        <w:ind w:left="0" w:leftChars="0" w:firstLine="482" w:firstLineChars="200"/>
        <w:textAlignment w:val="auto"/>
        <w:rPr>
          <w:rFonts w:hint="eastAsia" w:ascii="宋体" w:hAnsi="宋体" w:eastAsia="宋体" w:cs="宋体"/>
          <w:b/>
          <w:bCs/>
          <w:snapToGrid w:val="0"/>
          <w:sz w:val="24"/>
          <w:szCs w:val="24"/>
          <w:highlight w:val="none"/>
        </w:rPr>
      </w:pPr>
      <w:r>
        <w:rPr>
          <w:rFonts w:hint="eastAsia" w:ascii="宋体" w:hAnsi="宋体" w:eastAsia="宋体" w:cs="宋体"/>
          <w:b/>
          <w:bCs/>
          <w:snapToGrid w:val="0"/>
          <w:sz w:val="24"/>
          <w:szCs w:val="24"/>
          <w:highlight w:val="none"/>
        </w:rPr>
        <w:t>31.  废标</w:t>
      </w:r>
    </w:p>
    <w:p w14:paraId="4A223AA9">
      <w:pPr>
        <w:pStyle w:val="30"/>
        <w:pageBreakBefore w:val="0"/>
        <w:kinsoku/>
        <w:wordWrap/>
        <w:overflowPunct/>
        <w:topLinePunct w:val="0"/>
        <w:bidi w:val="0"/>
        <w:spacing w:after="0" w:line="500" w:lineRule="exact"/>
        <w:ind w:left="0" w:leftChars="0" w:firstLine="482" w:firstLineChars="200"/>
        <w:textAlignment w:val="auto"/>
        <w:rPr>
          <w:rFonts w:hint="eastAsia" w:ascii="宋体" w:hAnsi="宋体" w:eastAsia="宋体" w:cs="宋体"/>
          <w:b/>
          <w:snapToGrid w:val="0"/>
          <w:sz w:val="24"/>
          <w:szCs w:val="24"/>
          <w:highlight w:val="none"/>
        </w:rPr>
      </w:pPr>
      <w:r>
        <w:rPr>
          <w:rFonts w:hint="eastAsia" w:ascii="宋体" w:hAnsi="宋体" w:eastAsia="宋体" w:cs="宋体"/>
          <w:b/>
          <w:snapToGrid w:val="0"/>
          <w:sz w:val="24"/>
          <w:szCs w:val="24"/>
          <w:highlight w:val="none"/>
        </w:rPr>
        <w:t>有下列情形之一，本项目将予以废标：</w:t>
      </w:r>
    </w:p>
    <w:p w14:paraId="69146ACB">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1）在投标截止时间结束后参加投标的供应商不足3家的；</w:t>
      </w:r>
    </w:p>
    <w:p w14:paraId="70658016">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2）符合招标文件规定条件的供应商不足3家或者对招标文件作实质性响应的供应商不足3家的；使用综合评分法的采购项目，提供相同品牌产品且通过资格审查、符合性审查的不同供应商参加同一合同项下投标的，按一家供应商计算。</w:t>
      </w:r>
    </w:p>
    <w:p w14:paraId="2BAC0FDE">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3）出现影响采购公正的违法违规行为的；</w:t>
      </w:r>
    </w:p>
    <w:p w14:paraId="38296182">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4）供应商的报价均超过采购预算的；</w:t>
      </w:r>
    </w:p>
    <w:p w14:paraId="55B04F0D">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5）因重大变故，采购任务取消的；</w:t>
      </w:r>
    </w:p>
    <w:p w14:paraId="2CEFE526">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b/>
          <w:snapToGrid w:val="0"/>
          <w:sz w:val="24"/>
          <w:szCs w:val="24"/>
          <w:highlight w:val="none"/>
        </w:rPr>
      </w:pPr>
      <w:r>
        <w:rPr>
          <w:rFonts w:hint="eastAsia" w:ascii="宋体" w:hAnsi="宋体" w:eastAsia="宋体" w:cs="宋体"/>
          <w:snapToGrid w:val="0"/>
          <w:sz w:val="24"/>
          <w:szCs w:val="24"/>
          <w:highlight w:val="none"/>
        </w:rPr>
        <w:t>6）法律、法规及招标文件规定的其他情况。</w:t>
      </w:r>
    </w:p>
    <w:p w14:paraId="206AD29D">
      <w:pPr>
        <w:pStyle w:val="69"/>
        <w:pageBreakBefore w:val="0"/>
        <w:widowControl w:val="0"/>
        <w:tabs>
          <w:tab w:val="left" w:pos="955"/>
        </w:tabs>
        <w:kinsoku/>
        <w:wordWrap/>
        <w:overflowPunct/>
        <w:topLinePunct w:val="0"/>
        <w:bidi w:val="0"/>
        <w:spacing w:before="0" w:beforeAutospacing="0" w:after="0" w:afterAutospacing="0" w:line="500" w:lineRule="exact"/>
        <w:ind w:left="0" w:leftChars="0" w:firstLine="482" w:firstLineChars="200"/>
        <w:jc w:val="both"/>
        <w:textAlignment w:val="auto"/>
        <w:rPr>
          <w:rFonts w:hint="eastAsia" w:ascii="宋体" w:hAnsi="宋体" w:eastAsia="宋体" w:cs="宋体"/>
          <w:b/>
          <w:snapToGrid w:val="0"/>
          <w:sz w:val="24"/>
          <w:szCs w:val="24"/>
          <w:highlight w:val="none"/>
        </w:rPr>
      </w:pPr>
      <w:r>
        <w:rPr>
          <w:rFonts w:hint="eastAsia" w:ascii="宋体" w:hAnsi="宋体" w:eastAsia="宋体" w:cs="宋体"/>
          <w:b/>
          <w:snapToGrid w:val="0"/>
          <w:sz w:val="24"/>
          <w:szCs w:val="24"/>
          <w:highlight w:val="none"/>
        </w:rPr>
        <w:t xml:space="preserve">32.  </w:t>
      </w:r>
      <w:r>
        <w:rPr>
          <w:rFonts w:hint="eastAsia" w:ascii="宋体" w:hAnsi="宋体" w:eastAsia="宋体" w:cs="宋体"/>
          <w:b/>
          <w:snapToGrid w:val="0"/>
          <w:sz w:val="24"/>
          <w:szCs w:val="24"/>
          <w:highlight w:val="none"/>
          <w:lang w:eastAsia="zh-CN"/>
        </w:rPr>
        <w:t>确定中标人及</w:t>
      </w:r>
      <w:r>
        <w:rPr>
          <w:rFonts w:hint="eastAsia" w:ascii="宋体" w:hAnsi="宋体" w:eastAsia="宋体" w:cs="宋体"/>
          <w:b/>
          <w:snapToGrid w:val="0"/>
          <w:sz w:val="24"/>
          <w:szCs w:val="24"/>
          <w:highlight w:val="none"/>
        </w:rPr>
        <w:t>中标公告</w:t>
      </w:r>
    </w:p>
    <w:p w14:paraId="09F0FF6E">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32.1 采购人应当自收到评标报告之日起</w:t>
      </w:r>
      <w:r>
        <w:rPr>
          <w:rFonts w:hint="eastAsia" w:ascii="宋体" w:hAnsi="宋体" w:eastAsia="宋体" w:cs="宋体"/>
          <w:snapToGrid w:val="0"/>
          <w:sz w:val="24"/>
          <w:szCs w:val="24"/>
          <w:highlight w:val="none"/>
          <w:lang w:val="en-US" w:eastAsia="zh-CN"/>
        </w:rPr>
        <w:t>5</w:t>
      </w:r>
      <w:r>
        <w:rPr>
          <w:rFonts w:hint="eastAsia" w:ascii="宋体" w:hAnsi="宋体" w:eastAsia="宋体" w:cs="宋体"/>
          <w:snapToGrid w:val="0"/>
          <w:sz w:val="24"/>
          <w:szCs w:val="24"/>
          <w:highlight w:val="none"/>
        </w:rPr>
        <w:t>个工作日内，在评标报告确定的中标候选人名单中按顺序确定中标人。中标候选人并列的，由采购人或者采购人委托评标委员会按技术指标优劣顺序排列</w:t>
      </w:r>
      <w:r>
        <w:rPr>
          <w:rFonts w:hint="eastAsia" w:ascii="宋体" w:hAnsi="宋体" w:eastAsia="宋体" w:cs="宋体"/>
          <w:snapToGrid w:val="0"/>
          <w:sz w:val="24"/>
          <w:szCs w:val="24"/>
          <w:highlight w:val="none"/>
          <w:lang w:eastAsia="zh-CN"/>
        </w:rPr>
        <w:t>，</w:t>
      </w:r>
      <w:r>
        <w:rPr>
          <w:rFonts w:hint="eastAsia" w:ascii="宋体" w:hAnsi="宋体" w:eastAsia="宋体" w:cs="宋体"/>
          <w:snapToGrid w:val="0"/>
          <w:sz w:val="24"/>
          <w:szCs w:val="24"/>
          <w:highlight w:val="none"/>
        </w:rPr>
        <w:t>确定中标人；</w:t>
      </w:r>
    </w:p>
    <w:p w14:paraId="06CC9AFD">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lang w:val="en-US" w:eastAsia="zh-CN"/>
        </w:rPr>
        <w:t>32.2</w:t>
      </w:r>
      <w:r>
        <w:rPr>
          <w:rFonts w:hint="eastAsia" w:ascii="宋体" w:hAnsi="宋体" w:eastAsia="宋体" w:cs="宋体"/>
          <w:snapToGrid w:val="0"/>
          <w:sz w:val="24"/>
          <w:szCs w:val="24"/>
          <w:highlight w:val="none"/>
        </w:rPr>
        <w:t>采购人确定中标人后，采购代理机构将在发布招标公告的同一媒体发布中标公告。</w:t>
      </w:r>
    </w:p>
    <w:p w14:paraId="74587881">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32.</w:t>
      </w:r>
      <w:r>
        <w:rPr>
          <w:rFonts w:hint="eastAsia" w:ascii="宋体" w:hAnsi="宋体" w:eastAsia="宋体" w:cs="宋体"/>
          <w:snapToGrid w:val="0"/>
          <w:sz w:val="24"/>
          <w:szCs w:val="24"/>
          <w:highlight w:val="none"/>
          <w:lang w:val="en-US" w:eastAsia="zh-CN"/>
        </w:rPr>
        <w:t>3</w:t>
      </w:r>
      <w:r>
        <w:rPr>
          <w:rFonts w:hint="eastAsia" w:ascii="宋体" w:hAnsi="宋体" w:eastAsia="宋体" w:cs="宋体"/>
          <w:snapToGrid w:val="0"/>
          <w:sz w:val="24"/>
          <w:szCs w:val="24"/>
          <w:highlight w:val="none"/>
        </w:rPr>
        <w:t xml:space="preserve"> 中标公告内容应当包括采购人和采购代理机构的名称、地址、联系方式，项目名称和项目编号，中标人名称、地址和中标金额，主要中标标的的名称、规格型号、数量、单价、服务要求以及评审专家名单。</w:t>
      </w:r>
    </w:p>
    <w:p w14:paraId="6C815A90">
      <w:pPr>
        <w:pStyle w:val="3"/>
        <w:pageBreakBefore w:val="0"/>
        <w:widowControl/>
        <w:kinsoku/>
        <w:wordWrap/>
        <w:overflowPunct/>
        <w:topLinePunct w:val="0"/>
        <w:bidi w:val="0"/>
        <w:spacing w:before="0" w:after="0" w:line="500" w:lineRule="exact"/>
        <w:ind w:left="0" w:leftChars="0" w:firstLine="482" w:firstLineChars="200"/>
        <w:textAlignment w:val="auto"/>
        <w:rPr>
          <w:rFonts w:hint="eastAsia" w:ascii="宋体" w:hAnsi="宋体" w:eastAsia="宋体" w:cs="宋体"/>
          <w:snapToGrid w:val="0"/>
          <w:sz w:val="24"/>
          <w:szCs w:val="24"/>
          <w:highlight w:val="none"/>
        </w:rPr>
      </w:pPr>
      <w:bookmarkStart w:id="89" w:name="_Toc508784352"/>
      <w:bookmarkStart w:id="90" w:name="_Toc16517"/>
      <w:bookmarkStart w:id="91" w:name="_Toc23307"/>
      <w:bookmarkStart w:id="92" w:name="_Toc32591"/>
      <w:r>
        <w:rPr>
          <w:rFonts w:hint="eastAsia" w:ascii="宋体" w:hAnsi="宋体" w:eastAsia="宋体" w:cs="宋体"/>
          <w:snapToGrid w:val="0"/>
          <w:sz w:val="24"/>
          <w:szCs w:val="24"/>
          <w:highlight w:val="none"/>
        </w:rPr>
        <w:t>六、询问和质疑</w:t>
      </w:r>
      <w:bookmarkEnd w:id="89"/>
      <w:bookmarkEnd w:id="90"/>
      <w:bookmarkEnd w:id="91"/>
      <w:bookmarkEnd w:id="92"/>
    </w:p>
    <w:p w14:paraId="290F6470">
      <w:pPr>
        <w:pStyle w:val="30"/>
        <w:pageBreakBefore w:val="0"/>
        <w:tabs>
          <w:tab w:val="left" w:pos="955"/>
        </w:tabs>
        <w:kinsoku/>
        <w:wordWrap/>
        <w:overflowPunct/>
        <w:topLinePunct w:val="0"/>
        <w:bidi w:val="0"/>
        <w:spacing w:after="0" w:line="500" w:lineRule="exact"/>
        <w:ind w:left="0" w:leftChars="0" w:firstLine="482" w:firstLineChars="200"/>
        <w:textAlignment w:val="auto"/>
        <w:rPr>
          <w:rFonts w:hint="eastAsia" w:ascii="宋体" w:hAnsi="宋体" w:eastAsia="宋体" w:cs="宋体"/>
          <w:b/>
          <w:bCs/>
          <w:snapToGrid w:val="0"/>
          <w:sz w:val="24"/>
          <w:szCs w:val="24"/>
          <w:highlight w:val="none"/>
        </w:rPr>
      </w:pPr>
      <w:r>
        <w:rPr>
          <w:rFonts w:hint="eastAsia" w:ascii="宋体" w:hAnsi="宋体" w:eastAsia="宋体" w:cs="宋体"/>
          <w:b/>
          <w:bCs/>
          <w:snapToGrid w:val="0"/>
          <w:sz w:val="24"/>
          <w:szCs w:val="24"/>
          <w:highlight w:val="none"/>
        </w:rPr>
        <w:t>33、询问</w:t>
      </w:r>
    </w:p>
    <w:p w14:paraId="0BC73CA3">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供应商可向采购人或者采购代理机构就招标文件的内容依法提出询问，具体按招标公告中载明的联系人、联系方式以电话或书面（电子邮件等）方式与采购代理机构项目负责人联系。采购人或者采购代理机构将在收到询问后3个工作日内作出答复。</w:t>
      </w:r>
    </w:p>
    <w:p w14:paraId="7E728A08">
      <w:pPr>
        <w:pStyle w:val="30"/>
        <w:pageBreakBefore w:val="0"/>
        <w:kinsoku/>
        <w:wordWrap/>
        <w:overflowPunct/>
        <w:topLinePunct w:val="0"/>
        <w:bidi w:val="0"/>
        <w:spacing w:after="0" w:line="500" w:lineRule="exact"/>
        <w:ind w:left="0" w:leftChars="0" w:firstLine="482" w:firstLineChars="200"/>
        <w:textAlignment w:val="auto"/>
        <w:rPr>
          <w:rFonts w:hint="eastAsia" w:ascii="宋体" w:hAnsi="宋体" w:eastAsia="宋体" w:cs="宋体"/>
          <w:snapToGrid w:val="0"/>
          <w:sz w:val="24"/>
          <w:szCs w:val="24"/>
          <w:highlight w:val="none"/>
        </w:rPr>
      </w:pPr>
      <w:r>
        <w:rPr>
          <w:rFonts w:hint="eastAsia" w:ascii="宋体" w:hAnsi="宋体" w:eastAsia="宋体" w:cs="宋体"/>
          <w:b/>
          <w:bCs/>
          <w:snapToGrid w:val="0"/>
          <w:sz w:val="24"/>
          <w:szCs w:val="24"/>
          <w:highlight w:val="none"/>
        </w:rPr>
        <w:t>34、质疑</w:t>
      </w:r>
    </w:p>
    <w:p w14:paraId="4C157099">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34.1 供应商认为招标文件、采购过程和中标结果使自己的权益受到损害的，可以在知道或者应知其权益受到损害之日起七个工作日内，以书面形式向采购人或采购代理机构提出询问或质疑。供应商应在法定质疑期内一次性提出针对同一采购程序环节的质疑。</w:t>
      </w:r>
    </w:p>
    <w:p w14:paraId="33DBCC3C">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供应商应知其权益受到损害之日，是指：</w:t>
      </w:r>
    </w:p>
    <w:p w14:paraId="54676CA4">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（1）对可以质疑的招标文件提出质疑的，为收到招标文件之日或者招标文件公告期限届满之日；</w:t>
      </w:r>
    </w:p>
    <w:p w14:paraId="161277D6">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（2）对采购过程提出质疑的，为各采购程序环节结束之日；</w:t>
      </w:r>
    </w:p>
    <w:p w14:paraId="473CED66">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（3）对中标结果提出质疑的，为中标结果公告期限届满之日。</w:t>
      </w:r>
    </w:p>
    <w:p w14:paraId="0FF88724">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34.2 采购人或采购代理机构应当在收到供应商的书面质疑后七个工作日内作出答复，并以书面形式通知质疑供应商和其他有关供应商，但答复的内容不得涉及商业秘密。</w:t>
      </w:r>
    </w:p>
    <w:p w14:paraId="4EA5A380">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34.3 采购人或采购代理机构接收质疑函的联系人、联系电话和通讯地址等信息详见 “供应商须知附表”中载明的采购人、采购代理机构联系方式和联系人。</w:t>
      </w:r>
    </w:p>
    <w:p w14:paraId="20660FE0">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34.4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50006770">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代理人提出质疑和投诉，应当提交供应商签署的授权委托书。</w:t>
      </w:r>
    </w:p>
    <w:p w14:paraId="7122A013">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34.5 提出质疑的供应商应当是参与所质疑项目采购活动的供应商。</w:t>
      </w:r>
    </w:p>
    <w:p w14:paraId="54E1429A">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34.6 潜在供应商已依法获取其可质疑的招标文件的，可以对该文件提出质疑。对招标文件提出质疑的，应当在获取招标文件或者招标文件公告期限届满之日起7个工作日内提出</w:t>
      </w:r>
      <w:r>
        <w:rPr>
          <w:rFonts w:hint="eastAsia" w:ascii="宋体" w:hAnsi="宋体" w:eastAsia="宋体" w:cs="宋体"/>
          <w:snapToGrid w:val="0"/>
          <w:sz w:val="24"/>
          <w:szCs w:val="24"/>
          <w:highlight w:val="none"/>
          <w:lang w:eastAsia="zh-CN"/>
        </w:rPr>
        <w:t>。</w:t>
      </w:r>
    </w:p>
    <w:p w14:paraId="49013EF6">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34.7 供应商提出质疑应当提交质疑函和必要的证明材料。质疑函应当包括下列内容：</w:t>
      </w:r>
    </w:p>
    <w:p w14:paraId="1AAE2600">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（1）供应商的姓名或者名称、地址、邮编、联系人及联系电话；</w:t>
      </w:r>
    </w:p>
    <w:p w14:paraId="46B812E1">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（2）质疑项目的名称、编号；</w:t>
      </w:r>
    </w:p>
    <w:p w14:paraId="67D7BA7B">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（3）具体、明确的质疑事项和与质疑事项相关的请求；</w:t>
      </w:r>
    </w:p>
    <w:p w14:paraId="422A84C0">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（4）事实依据；</w:t>
      </w:r>
    </w:p>
    <w:p w14:paraId="5CB1FBFD">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（5）必要的法律依据；</w:t>
      </w:r>
    </w:p>
    <w:p w14:paraId="6B8E15FF">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（6）提出质疑的日期。</w:t>
      </w:r>
    </w:p>
    <w:p w14:paraId="16D8DABB">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供应商为自然人的，应当由本人签字；供应商为法人或者其他组织的，应当由法定代表人、主要负责人，或者其授权代表签字或者盖章，并加盖公章。</w:t>
      </w:r>
    </w:p>
    <w:p w14:paraId="7BEBA5DC">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34.8 采购人、采购代理机构认为供应商质疑不成立，或者成立但未对中标、成交结果构成影响的，继续开展采购活动；认为供应商质疑成立且影响或者可能影响中标、成交结果的，按照下列情况处理：</w:t>
      </w:r>
    </w:p>
    <w:p w14:paraId="04B68E62">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（1）对招标文件提出的质疑，依法通过澄清或者修改可以继续开展采购活动的，澄清或者修改招标文件后继续开展采购活动；否则应当修改招标文件后重新开展采购活动。</w:t>
      </w:r>
    </w:p>
    <w:p w14:paraId="3A779934">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（2）对采购过程、中标或者成交结果提出的质疑，合格供应商符合法定数量时，可以从合格的中标候选人中另行确定中标候选人的，应当依法另行确定中标候选人；否则应当重新开展采购活动。</w:t>
      </w:r>
    </w:p>
    <w:p w14:paraId="2B3799E8">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34.9 质疑供应商对采购人、采购代理机构的答复不满意或者采购人、采购代理机构未在规定的时间内作出答复的，可以在答复期满后十五个工作日内向同级政府采购监督管理部门投诉。</w:t>
      </w:r>
    </w:p>
    <w:p w14:paraId="7EBBBF1D">
      <w:pPr>
        <w:pStyle w:val="3"/>
        <w:pageBreakBefore w:val="0"/>
        <w:kinsoku/>
        <w:wordWrap/>
        <w:overflowPunct/>
        <w:topLinePunct w:val="0"/>
        <w:bidi w:val="0"/>
        <w:spacing w:before="0" w:after="0" w:line="500" w:lineRule="exact"/>
        <w:ind w:left="0" w:leftChars="0" w:firstLine="482" w:firstLineChars="200"/>
        <w:textAlignment w:val="auto"/>
        <w:rPr>
          <w:rFonts w:hint="eastAsia" w:ascii="宋体" w:hAnsi="宋体" w:eastAsia="宋体" w:cs="宋体"/>
          <w:snapToGrid w:val="0"/>
          <w:sz w:val="24"/>
          <w:szCs w:val="24"/>
          <w:highlight w:val="none"/>
        </w:rPr>
      </w:pPr>
      <w:bookmarkStart w:id="93" w:name="_Toc25417"/>
      <w:bookmarkStart w:id="94" w:name="_Toc30825"/>
      <w:bookmarkStart w:id="95" w:name="_Toc508784353"/>
      <w:bookmarkStart w:id="96" w:name="_Toc7224"/>
      <w:r>
        <w:rPr>
          <w:rFonts w:hint="eastAsia" w:ascii="宋体" w:hAnsi="宋体" w:eastAsia="宋体" w:cs="宋体"/>
          <w:snapToGrid w:val="0"/>
          <w:sz w:val="24"/>
          <w:szCs w:val="24"/>
          <w:highlight w:val="none"/>
        </w:rPr>
        <w:t>七、授予合同</w:t>
      </w:r>
      <w:bookmarkEnd w:id="93"/>
      <w:bookmarkEnd w:id="94"/>
      <w:bookmarkEnd w:id="95"/>
      <w:bookmarkEnd w:id="96"/>
    </w:p>
    <w:p w14:paraId="486956F6">
      <w:pPr>
        <w:pStyle w:val="30"/>
        <w:pageBreakBefore w:val="0"/>
        <w:tabs>
          <w:tab w:val="left" w:pos="955"/>
        </w:tabs>
        <w:kinsoku/>
        <w:wordWrap/>
        <w:overflowPunct/>
        <w:topLinePunct w:val="0"/>
        <w:bidi w:val="0"/>
        <w:spacing w:after="0" w:line="500" w:lineRule="exact"/>
        <w:ind w:left="0" w:leftChars="0" w:firstLine="482" w:firstLineChars="200"/>
        <w:textAlignment w:val="auto"/>
        <w:rPr>
          <w:rFonts w:hint="eastAsia" w:ascii="宋体" w:hAnsi="宋体" w:eastAsia="宋体" w:cs="宋体"/>
          <w:b/>
          <w:bCs/>
          <w:snapToGrid w:val="0"/>
          <w:sz w:val="24"/>
          <w:szCs w:val="24"/>
          <w:highlight w:val="none"/>
        </w:rPr>
      </w:pPr>
      <w:bookmarkStart w:id="97" w:name="_Toc346306763"/>
      <w:bookmarkStart w:id="98" w:name="_Toc352332884"/>
      <w:bookmarkStart w:id="99" w:name="_Toc346372910"/>
      <w:r>
        <w:rPr>
          <w:rFonts w:hint="eastAsia" w:ascii="宋体" w:hAnsi="宋体" w:eastAsia="宋体" w:cs="宋体"/>
          <w:b/>
          <w:bCs/>
          <w:snapToGrid w:val="0"/>
          <w:sz w:val="24"/>
          <w:szCs w:val="24"/>
          <w:highlight w:val="none"/>
        </w:rPr>
        <w:t>35.  中标通知书</w:t>
      </w:r>
      <w:bookmarkEnd w:id="97"/>
      <w:bookmarkEnd w:id="98"/>
      <w:bookmarkEnd w:id="99"/>
    </w:p>
    <w:p w14:paraId="108D21DA">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bookmarkStart w:id="100" w:name="_Toc346372911"/>
      <w:bookmarkStart w:id="101" w:name="_Toc346306764"/>
      <w:bookmarkStart w:id="102" w:name="_Toc352332885"/>
      <w:r>
        <w:rPr>
          <w:rFonts w:hint="eastAsia" w:ascii="宋体" w:hAnsi="宋体" w:eastAsia="宋体" w:cs="宋体"/>
          <w:snapToGrid w:val="0"/>
          <w:sz w:val="24"/>
          <w:szCs w:val="24"/>
          <w:highlight w:val="none"/>
        </w:rPr>
        <w:t>35.1在发布中标结果的同时，采购人或采购代理机构向中标人签发《中标通知书》。</w:t>
      </w:r>
    </w:p>
    <w:p w14:paraId="64FB52A9">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35.2 中标通知书是合同的一个组成部分。</w:t>
      </w:r>
    </w:p>
    <w:p w14:paraId="5A6B17E7">
      <w:pPr>
        <w:pStyle w:val="30"/>
        <w:pageBreakBefore w:val="0"/>
        <w:tabs>
          <w:tab w:val="left" w:pos="955"/>
        </w:tabs>
        <w:kinsoku/>
        <w:wordWrap/>
        <w:overflowPunct/>
        <w:topLinePunct w:val="0"/>
        <w:bidi w:val="0"/>
        <w:spacing w:after="0" w:line="500" w:lineRule="exact"/>
        <w:ind w:left="0" w:leftChars="0" w:firstLine="482" w:firstLineChars="200"/>
        <w:textAlignment w:val="auto"/>
        <w:rPr>
          <w:rFonts w:hint="eastAsia" w:ascii="宋体" w:hAnsi="宋体" w:eastAsia="宋体" w:cs="宋体"/>
          <w:b/>
          <w:bCs/>
          <w:snapToGrid w:val="0"/>
          <w:sz w:val="24"/>
          <w:szCs w:val="24"/>
          <w:highlight w:val="none"/>
        </w:rPr>
      </w:pPr>
      <w:r>
        <w:rPr>
          <w:rFonts w:hint="eastAsia" w:ascii="宋体" w:hAnsi="宋体" w:eastAsia="宋体" w:cs="宋体"/>
          <w:b/>
          <w:bCs/>
          <w:snapToGrid w:val="0"/>
          <w:sz w:val="24"/>
          <w:szCs w:val="24"/>
          <w:highlight w:val="none"/>
        </w:rPr>
        <w:t>36.  签订合同</w:t>
      </w:r>
      <w:bookmarkEnd w:id="100"/>
      <w:bookmarkEnd w:id="101"/>
      <w:bookmarkEnd w:id="102"/>
    </w:p>
    <w:p w14:paraId="7B48CFAD">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bookmarkStart w:id="103" w:name="_Toc475090310"/>
      <w:r>
        <w:rPr>
          <w:rFonts w:hint="eastAsia" w:ascii="宋体" w:hAnsi="宋体" w:eastAsia="宋体" w:cs="宋体"/>
          <w:snapToGrid w:val="0"/>
          <w:sz w:val="24"/>
          <w:szCs w:val="24"/>
          <w:highlight w:val="none"/>
        </w:rPr>
        <w:t>36.1中标通知书发出之日起10日内，按照招标文件确定的事项签订合同。</w:t>
      </w:r>
    </w:p>
    <w:p w14:paraId="27BD4F54">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36.2中标通知书对采购人和中标供应商均具有法律效力。中标通知书发出后，采购人违法改变中标结果的，或者中标供应商无正当理由放弃中标项目的，应当依法承担法律责任。</w:t>
      </w:r>
    </w:p>
    <w:p w14:paraId="7E9EA3E3">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36.3招标文件、中标人的投标文件以及评标过程中的有关澄清、承诺文件均为合同的组成部分。</w:t>
      </w:r>
      <w:bookmarkEnd w:id="103"/>
    </w:p>
    <w:p w14:paraId="49C823CB">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color w:val="7030A0"/>
          <w:sz w:val="24"/>
          <w:szCs w:val="24"/>
          <w:highlight w:val="none"/>
        </w:rPr>
      </w:pPr>
      <w:r>
        <w:rPr>
          <w:rFonts w:hint="eastAsia" w:ascii="宋体" w:hAnsi="宋体" w:eastAsia="宋体" w:cs="宋体"/>
          <w:snapToGrid w:val="0"/>
          <w:sz w:val="24"/>
          <w:szCs w:val="24"/>
          <w:highlight w:val="none"/>
        </w:rPr>
        <w:t>36.4中标人拒绝与采购人签订合同的，采购人可以按照评审报告推荐的中标候选人名单排序，确定下一候选人为中标供应商，也可以重新开展政府采购活动。</w:t>
      </w:r>
    </w:p>
    <w:p w14:paraId="766B1E35">
      <w:pPr>
        <w:pStyle w:val="3"/>
        <w:pageBreakBefore w:val="0"/>
        <w:widowControl/>
        <w:kinsoku/>
        <w:wordWrap/>
        <w:overflowPunct/>
        <w:topLinePunct w:val="0"/>
        <w:bidi w:val="0"/>
        <w:spacing w:before="0" w:after="0" w:line="500" w:lineRule="exact"/>
        <w:ind w:left="0" w:leftChars="0" w:firstLine="482" w:firstLineChars="200"/>
        <w:textAlignment w:val="auto"/>
        <w:rPr>
          <w:rFonts w:hint="eastAsia" w:ascii="宋体" w:hAnsi="宋体" w:eastAsia="宋体" w:cs="宋体"/>
          <w:snapToGrid w:val="0"/>
          <w:sz w:val="24"/>
          <w:szCs w:val="24"/>
          <w:highlight w:val="none"/>
        </w:rPr>
      </w:pPr>
      <w:bookmarkStart w:id="104" w:name="_Toc28167"/>
      <w:bookmarkStart w:id="105" w:name="_Toc19"/>
      <w:bookmarkStart w:id="106" w:name="_Toc24221"/>
      <w:r>
        <w:rPr>
          <w:rFonts w:hint="eastAsia" w:ascii="宋体" w:hAnsi="宋体" w:eastAsia="宋体" w:cs="宋体"/>
          <w:snapToGrid w:val="0"/>
          <w:sz w:val="24"/>
          <w:szCs w:val="24"/>
          <w:highlight w:val="none"/>
        </w:rPr>
        <w:t>八、履约保证金</w:t>
      </w:r>
      <w:bookmarkEnd w:id="104"/>
      <w:bookmarkEnd w:id="105"/>
      <w:bookmarkEnd w:id="106"/>
    </w:p>
    <w:p w14:paraId="333F46A4">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37.1本项目中标人应按招标人要求提交履约保证金，除非招标文件“供应商须知</w:t>
      </w:r>
      <w:r>
        <w:rPr>
          <w:rFonts w:hint="eastAsia" w:ascii="宋体" w:hAnsi="宋体" w:eastAsia="宋体" w:cs="宋体"/>
          <w:snapToGrid w:val="0"/>
          <w:sz w:val="24"/>
          <w:szCs w:val="24"/>
          <w:highlight w:val="none"/>
          <w:lang w:eastAsia="zh-CN"/>
        </w:rPr>
        <w:t>前</w:t>
      </w:r>
      <w:r>
        <w:rPr>
          <w:rFonts w:hint="eastAsia" w:ascii="宋体" w:hAnsi="宋体" w:eastAsia="宋体" w:cs="宋体"/>
          <w:snapToGrid w:val="0"/>
          <w:sz w:val="24"/>
          <w:szCs w:val="24"/>
          <w:highlight w:val="none"/>
        </w:rPr>
        <w:t>附表”明确说明不要求中标人提交履约保证金。履约保证金的形式和金额见招标文件 “供应商须知附表”。</w:t>
      </w:r>
    </w:p>
    <w:p w14:paraId="4801A935">
      <w:pPr>
        <w:pStyle w:val="3"/>
        <w:pageBreakBefore w:val="0"/>
        <w:widowControl/>
        <w:kinsoku/>
        <w:wordWrap/>
        <w:overflowPunct/>
        <w:topLinePunct w:val="0"/>
        <w:bidi w:val="0"/>
        <w:spacing w:before="0" w:after="0" w:line="500" w:lineRule="exact"/>
        <w:ind w:left="0" w:leftChars="0" w:firstLine="482" w:firstLineChars="200"/>
        <w:textAlignment w:val="auto"/>
        <w:rPr>
          <w:rFonts w:hint="eastAsia" w:ascii="宋体" w:hAnsi="宋体" w:eastAsia="宋体" w:cs="宋体"/>
          <w:snapToGrid w:val="0"/>
          <w:sz w:val="24"/>
          <w:szCs w:val="24"/>
          <w:highlight w:val="none"/>
        </w:rPr>
      </w:pPr>
      <w:bookmarkStart w:id="107" w:name="_Toc21839"/>
      <w:bookmarkStart w:id="108" w:name="_Toc508784354"/>
      <w:bookmarkStart w:id="109" w:name="_Toc12908"/>
      <w:bookmarkStart w:id="110" w:name="_Toc20874"/>
      <w:bookmarkStart w:id="111" w:name="_Toc16732"/>
      <w:r>
        <w:rPr>
          <w:rFonts w:hint="eastAsia" w:ascii="宋体" w:hAnsi="宋体" w:eastAsia="宋体" w:cs="宋体"/>
          <w:snapToGrid w:val="0"/>
          <w:sz w:val="24"/>
          <w:szCs w:val="24"/>
          <w:highlight w:val="none"/>
        </w:rPr>
        <w:t>九、</w:t>
      </w:r>
      <w:bookmarkEnd w:id="107"/>
      <w:bookmarkEnd w:id="108"/>
      <w:r>
        <w:rPr>
          <w:rFonts w:hint="eastAsia" w:ascii="宋体" w:hAnsi="宋体" w:eastAsia="宋体" w:cs="宋体"/>
          <w:snapToGrid w:val="0"/>
          <w:sz w:val="24"/>
          <w:szCs w:val="24"/>
          <w:highlight w:val="none"/>
        </w:rPr>
        <w:t>相关费用</w:t>
      </w:r>
      <w:bookmarkEnd w:id="109"/>
      <w:bookmarkEnd w:id="110"/>
      <w:bookmarkEnd w:id="111"/>
    </w:p>
    <w:p w14:paraId="5570AD70">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38. 中标服务费</w:t>
      </w:r>
    </w:p>
    <w:p w14:paraId="371CE417">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38.1本项目中标服务费由采购代理机构向中标人收取。中标服务费的计算标准详见招标文件“供应商须知前附表”。</w:t>
      </w:r>
    </w:p>
    <w:p w14:paraId="2A14C9B5">
      <w:pPr>
        <w:pStyle w:val="3"/>
        <w:pageBreakBefore w:val="0"/>
        <w:widowControl/>
        <w:kinsoku/>
        <w:wordWrap/>
        <w:overflowPunct/>
        <w:topLinePunct w:val="0"/>
        <w:bidi w:val="0"/>
        <w:spacing w:before="0" w:after="0" w:line="500" w:lineRule="exact"/>
        <w:ind w:left="0" w:leftChars="0" w:firstLine="482" w:firstLineChars="200"/>
        <w:textAlignment w:val="auto"/>
        <w:rPr>
          <w:rFonts w:hint="eastAsia" w:ascii="宋体" w:hAnsi="宋体" w:eastAsia="宋体" w:cs="宋体"/>
          <w:b/>
          <w:snapToGrid w:val="0"/>
          <w:sz w:val="24"/>
          <w:szCs w:val="24"/>
          <w:highlight w:val="none"/>
        </w:rPr>
      </w:pPr>
      <w:bookmarkStart w:id="112" w:name="_Toc29424"/>
      <w:bookmarkStart w:id="113" w:name="_Toc18084"/>
      <w:bookmarkStart w:id="114" w:name="_Toc19583"/>
      <w:r>
        <w:rPr>
          <w:rFonts w:hint="eastAsia" w:ascii="宋体" w:hAnsi="宋体" w:eastAsia="宋体" w:cs="宋体"/>
          <w:b/>
          <w:snapToGrid w:val="0"/>
          <w:sz w:val="24"/>
          <w:szCs w:val="24"/>
          <w:highlight w:val="none"/>
        </w:rPr>
        <w:t>十、其他</w:t>
      </w:r>
      <w:bookmarkEnd w:id="112"/>
      <w:bookmarkEnd w:id="113"/>
      <w:bookmarkEnd w:id="114"/>
    </w:p>
    <w:p w14:paraId="561DE603">
      <w:pPr>
        <w:pStyle w:val="69"/>
        <w:pageBreakBefore w:val="0"/>
        <w:widowControl w:val="0"/>
        <w:kinsoku/>
        <w:wordWrap/>
        <w:overflowPunct/>
        <w:topLinePunct w:val="0"/>
        <w:bidi w:val="0"/>
        <w:spacing w:before="0" w:beforeAutospacing="0" w:after="0" w:afterAutospacing="0" w:line="500" w:lineRule="exact"/>
        <w:ind w:left="0" w:leftChars="0" w:firstLine="480" w:firstLineChars="200"/>
        <w:jc w:val="both"/>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39、供应商有下列情形之一的，依照政府采购法第七十七条第一款、第七十九条的规定追究法律责任：</w:t>
      </w:r>
    </w:p>
    <w:p w14:paraId="2785B67F">
      <w:pPr>
        <w:pStyle w:val="69"/>
        <w:pageBreakBefore w:val="0"/>
        <w:widowControl w:val="0"/>
        <w:kinsoku/>
        <w:wordWrap/>
        <w:overflowPunct/>
        <w:topLinePunct w:val="0"/>
        <w:bidi w:val="0"/>
        <w:spacing w:before="0" w:beforeAutospacing="0" w:after="0" w:afterAutospacing="0" w:line="500" w:lineRule="exact"/>
        <w:ind w:left="0" w:leftChars="0" w:firstLine="480" w:firstLineChars="200"/>
        <w:jc w:val="both"/>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（1）提供虚假材料谋取中标、成交的；</w:t>
      </w:r>
    </w:p>
    <w:p w14:paraId="2CA25C11">
      <w:pPr>
        <w:pStyle w:val="69"/>
        <w:pageBreakBefore w:val="0"/>
        <w:widowControl w:val="0"/>
        <w:kinsoku/>
        <w:wordWrap/>
        <w:overflowPunct/>
        <w:topLinePunct w:val="0"/>
        <w:bidi w:val="0"/>
        <w:spacing w:before="0" w:beforeAutospacing="0" w:after="0" w:afterAutospacing="0" w:line="500" w:lineRule="exact"/>
        <w:ind w:left="0" w:leftChars="0" w:firstLine="480" w:firstLineChars="200"/>
        <w:jc w:val="both"/>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（2）采取不正当手段诋毁、排挤其他供应商的；</w:t>
      </w:r>
    </w:p>
    <w:p w14:paraId="096CAA84">
      <w:pPr>
        <w:pStyle w:val="69"/>
        <w:pageBreakBefore w:val="0"/>
        <w:widowControl w:val="0"/>
        <w:kinsoku/>
        <w:wordWrap/>
        <w:overflowPunct/>
        <w:topLinePunct w:val="0"/>
        <w:bidi w:val="0"/>
        <w:spacing w:before="0" w:beforeAutospacing="0" w:after="0" w:afterAutospacing="0" w:line="500" w:lineRule="exact"/>
        <w:ind w:left="0" w:leftChars="0" w:firstLine="480" w:firstLineChars="200"/>
        <w:jc w:val="both"/>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（3）与采购人、其他供应商或者采购代理机构恶意串通的；</w:t>
      </w:r>
    </w:p>
    <w:p w14:paraId="2AC9DDFF">
      <w:pPr>
        <w:pStyle w:val="69"/>
        <w:pageBreakBefore w:val="0"/>
        <w:widowControl w:val="0"/>
        <w:kinsoku/>
        <w:wordWrap/>
        <w:overflowPunct/>
        <w:topLinePunct w:val="0"/>
        <w:bidi w:val="0"/>
        <w:spacing w:before="0" w:beforeAutospacing="0" w:after="0" w:afterAutospacing="0" w:line="500" w:lineRule="exact"/>
        <w:ind w:left="0" w:leftChars="0" w:firstLine="480" w:firstLineChars="200"/>
        <w:jc w:val="both"/>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（4）向采购人、采购代理机构行贿或者提供其他不正当利益的；</w:t>
      </w:r>
    </w:p>
    <w:p w14:paraId="52DD9869">
      <w:pPr>
        <w:pStyle w:val="69"/>
        <w:pageBreakBefore w:val="0"/>
        <w:widowControl w:val="0"/>
        <w:kinsoku/>
        <w:wordWrap/>
        <w:overflowPunct/>
        <w:topLinePunct w:val="0"/>
        <w:bidi w:val="0"/>
        <w:spacing w:before="0" w:beforeAutospacing="0" w:after="0" w:afterAutospacing="0" w:line="500" w:lineRule="exact"/>
        <w:ind w:left="0" w:leftChars="0" w:firstLine="480" w:firstLineChars="200"/>
        <w:jc w:val="both"/>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（5）在招标采购过程中与采购人进行协商谈判的；</w:t>
      </w:r>
    </w:p>
    <w:p w14:paraId="335EC36C">
      <w:pPr>
        <w:pStyle w:val="69"/>
        <w:pageBreakBefore w:val="0"/>
        <w:widowControl w:val="0"/>
        <w:kinsoku/>
        <w:wordWrap/>
        <w:overflowPunct/>
        <w:topLinePunct w:val="0"/>
        <w:bidi w:val="0"/>
        <w:spacing w:before="0" w:beforeAutospacing="0" w:after="0" w:afterAutospacing="0" w:line="500" w:lineRule="exact"/>
        <w:ind w:left="0" w:leftChars="0" w:firstLine="480" w:firstLineChars="200"/>
        <w:jc w:val="both"/>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（6）拒绝有关部门监督检查或者提供虚假情况的；</w:t>
      </w:r>
    </w:p>
    <w:p w14:paraId="7BB3F358">
      <w:pPr>
        <w:pStyle w:val="69"/>
        <w:pageBreakBefore w:val="0"/>
        <w:widowControl w:val="0"/>
        <w:kinsoku/>
        <w:wordWrap/>
        <w:overflowPunct/>
        <w:topLinePunct w:val="0"/>
        <w:bidi w:val="0"/>
        <w:spacing w:before="0" w:beforeAutospacing="0" w:after="0" w:afterAutospacing="0" w:line="500" w:lineRule="exact"/>
        <w:ind w:left="0" w:leftChars="0" w:firstLine="480" w:firstLineChars="200"/>
        <w:jc w:val="both"/>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（7）向评标委员会行贿或者提供其他不正当利益；</w:t>
      </w:r>
    </w:p>
    <w:p w14:paraId="25535D6B">
      <w:pPr>
        <w:pStyle w:val="69"/>
        <w:pageBreakBefore w:val="0"/>
        <w:widowControl w:val="0"/>
        <w:kinsoku/>
        <w:wordWrap/>
        <w:overflowPunct/>
        <w:topLinePunct w:val="0"/>
        <w:bidi w:val="0"/>
        <w:spacing w:before="0" w:beforeAutospacing="0" w:after="0" w:afterAutospacing="0" w:line="500" w:lineRule="exact"/>
        <w:ind w:left="0" w:leftChars="0" w:firstLine="480" w:firstLineChars="200"/>
        <w:jc w:val="both"/>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（8）中标后无正当理由拒不与采购人签订政府采购合同；</w:t>
      </w:r>
    </w:p>
    <w:p w14:paraId="77A785BD">
      <w:pPr>
        <w:pStyle w:val="69"/>
        <w:pageBreakBefore w:val="0"/>
        <w:widowControl w:val="0"/>
        <w:kinsoku/>
        <w:wordWrap/>
        <w:overflowPunct/>
        <w:topLinePunct w:val="0"/>
        <w:bidi w:val="0"/>
        <w:spacing w:before="0" w:beforeAutospacing="0" w:after="0" w:afterAutospacing="0" w:line="500" w:lineRule="exact"/>
        <w:ind w:left="0" w:leftChars="0" w:firstLine="480" w:firstLineChars="200"/>
        <w:jc w:val="both"/>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（9）未按照招标文件确定的事项签订政府采购合同；</w:t>
      </w:r>
    </w:p>
    <w:p w14:paraId="07ECCC4C">
      <w:pPr>
        <w:pStyle w:val="69"/>
        <w:pageBreakBefore w:val="0"/>
        <w:widowControl w:val="0"/>
        <w:kinsoku/>
        <w:wordWrap/>
        <w:overflowPunct/>
        <w:topLinePunct w:val="0"/>
        <w:bidi w:val="0"/>
        <w:spacing w:before="0" w:beforeAutospacing="0" w:after="0" w:afterAutospacing="0" w:line="500" w:lineRule="exact"/>
        <w:ind w:left="0" w:leftChars="0" w:firstLine="480" w:firstLineChars="200"/>
        <w:jc w:val="both"/>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（10）将政府采购合同转包；</w:t>
      </w:r>
    </w:p>
    <w:p w14:paraId="7C9BD09A">
      <w:pPr>
        <w:pStyle w:val="69"/>
        <w:pageBreakBefore w:val="0"/>
        <w:widowControl w:val="0"/>
        <w:kinsoku/>
        <w:wordWrap/>
        <w:overflowPunct/>
        <w:topLinePunct w:val="0"/>
        <w:bidi w:val="0"/>
        <w:spacing w:before="0" w:beforeAutospacing="0" w:after="0" w:afterAutospacing="0" w:line="500" w:lineRule="exact"/>
        <w:ind w:left="0" w:leftChars="0" w:firstLine="480" w:firstLineChars="200"/>
        <w:jc w:val="both"/>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（11）提供假冒伪劣产品；</w:t>
      </w:r>
    </w:p>
    <w:p w14:paraId="331A29E2">
      <w:pPr>
        <w:pStyle w:val="69"/>
        <w:pageBreakBefore w:val="0"/>
        <w:widowControl w:val="0"/>
        <w:kinsoku/>
        <w:wordWrap/>
        <w:overflowPunct/>
        <w:topLinePunct w:val="0"/>
        <w:bidi w:val="0"/>
        <w:spacing w:before="0" w:beforeAutospacing="0" w:after="0" w:afterAutospacing="0" w:line="500" w:lineRule="exact"/>
        <w:ind w:left="0" w:leftChars="0" w:firstLine="480" w:firstLineChars="200"/>
        <w:jc w:val="both"/>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（12）擅自变更、中止或者终止政府采购合同。</w:t>
      </w:r>
    </w:p>
    <w:p w14:paraId="72D55234">
      <w:pPr>
        <w:pStyle w:val="30"/>
        <w:pageBreakBefore w:val="0"/>
        <w:kinsoku/>
        <w:wordWrap/>
        <w:overflowPunct/>
        <w:topLinePunct w:val="0"/>
        <w:bidi w:val="0"/>
        <w:spacing w:after="0" w:line="500" w:lineRule="exact"/>
        <w:ind w:left="0" w:leftChars="0" w:firstLine="480" w:firstLineChars="200"/>
        <w:textAlignment w:val="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供应商有前款第（1）至（5）项、第（7）项情形之一的，中标无效。</w:t>
      </w:r>
    </w:p>
    <w:p w14:paraId="3C471B83">
      <w:pPr>
        <w:pStyle w:val="3"/>
        <w:pageBreakBefore w:val="0"/>
        <w:kinsoku/>
        <w:wordWrap/>
        <w:overflowPunct/>
        <w:topLinePunct w:val="0"/>
        <w:bidi w:val="0"/>
        <w:spacing w:before="0" w:after="0" w:line="500" w:lineRule="exact"/>
        <w:ind w:left="0" w:leftChars="0" w:firstLine="482" w:firstLineChars="200"/>
        <w:textAlignment w:val="auto"/>
        <w:rPr>
          <w:rFonts w:hint="eastAsia" w:ascii="宋体" w:hAnsi="宋体" w:eastAsia="宋体" w:cs="宋体"/>
          <w:snapToGrid w:val="0"/>
          <w:sz w:val="24"/>
          <w:szCs w:val="24"/>
          <w:highlight w:val="none"/>
        </w:rPr>
      </w:pPr>
      <w:bookmarkStart w:id="115" w:name="_Toc6718"/>
      <w:bookmarkStart w:id="116" w:name="_Toc27430"/>
      <w:bookmarkStart w:id="117" w:name="_Toc20478"/>
      <w:bookmarkStart w:id="118" w:name="_Toc508784355"/>
      <w:r>
        <w:rPr>
          <w:rFonts w:hint="eastAsia" w:ascii="宋体" w:hAnsi="宋体" w:eastAsia="宋体" w:cs="宋体"/>
          <w:snapToGrid w:val="0"/>
          <w:sz w:val="24"/>
          <w:szCs w:val="24"/>
          <w:highlight w:val="none"/>
        </w:rPr>
        <w:t>十一、解释权</w:t>
      </w:r>
      <w:bookmarkEnd w:id="115"/>
      <w:bookmarkEnd w:id="116"/>
      <w:bookmarkEnd w:id="117"/>
      <w:bookmarkEnd w:id="118"/>
    </w:p>
    <w:p w14:paraId="260AA385">
      <w:pPr>
        <w:pStyle w:val="30"/>
        <w:pageBreakBefore w:val="0"/>
        <w:kinsoku/>
        <w:wordWrap/>
        <w:overflowPunct/>
        <w:topLinePunct w:val="0"/>
        <w:bidi w:val="0"/>
        <w:spacing w:after="0" w:line="500" w:lineRule="exact"/>
        <w:ind w:left="0" w:leftChars="0" w:firstLine="480" w:firstLineChars="200"/>
        <w:textAlignment w:val="auto"/>
        <w:rPr>
          <w:rFonts w:ascii="宋体" w:hAnsi="宋体"/>
          <w:kern w:val="2"/>
          <w:sz w:val="32"/>
          <w:highlight w:val="none"/>
        </w:rPr>
      </w:pPr>
      <w:r>
        <w:rPr>
          <w:rFonts w:hint="eastAsia" w:ascii="宋体" w:hAnsi="宋体" w:eastAsia="宋体" w:cs="宋体"/>
          <w:snapToGrid w:val="0"/>
          <w:sz w:val="24"/>
          <w:szCs w:val="24"/>
          <w:highlight w:val="none"/>
        </w:rPr>
        <w:t>40.本招标文件的最终解释权归代理机构，当对一个问题有多种解释时以代理机构的书面解释为准。招标文件未</w:t>
      </w:r>
      <w:r>
        <w:rPr>
          <w:rFonts w:hint="eastAsia" w:ascii="宋体" w:hAnsi="宋体" w:eastAsia="宋体" w:cs="宋体"/>
          <w:snapToGrid w:val="0"/>
          <w:sz w:val="24"/>
          <w:szCs w:val="24"/>
          <w:highlight w:val="none"/>
          <w:lang w:eastAsia="zh-CN"/>
        </w:rPr>
        <w:t>作</w:t>
      </w:r>
      <w:r>
        <w:rPr>
          <w:rFonts w:hint="eastAsia" w:ascii="宋体" w:hAnsi="宋体" w:eastAsia="宋体" w:cs="宋体"/>
          <w:snapToGrid w:val="0"/>
          <w:sz w:val="24"/>
          <w:szCs w:val="24"/>
          <w:highlight w:val="none"/>
        </w:rPr>
        <w:t>明示，而又有相关法律、法规规定的，代理机构对此所</w:t>
      </w:r>
      <w:r>
        <w:rPr>
          <w:rFonts w:hint="eastAsia" w:ascii="宋体" w:hAnsi="宋体" w:eastAsia="宋体" w:cs="宋体"/>
          <w:snapToGrid w:val="0"/>
          <w:sz w:val="24"/>
          <w:szCs w:val="24"/>
          <w:highlight w:val="none"/>
          <w:lang w:eastAsia="zh-CN"/>
        </w:rPr>
        <w:t>作解释</w:t>
      </w:r>
      <w:r>
        <w:rPr>
          <w:rFonts w:hint="eastAsia" w:ascii="宋体" w:hAnsi="宋体" w:eastAsia="宋体" w:cs="宋体"/>
          <w:snapToGrid w:val="0"/>
          <w:sz w:val="24"/>
          <w:szCs w:val="24"/>
          <w:highlight w:val="none"/>
        </w:rPr>
        <w:t>以相关的法律、法规规定为依据。</w:t>
      </w:r>
      <w:r>
        <w:rPr>
          <w:rFonts w:hint="eastAsia" w:ascii="宋体" w:hAnsi="宋体"/>
          <w:kern w:val="2"/>
          <w:sz w:val="32"/>
          <w:highlight w:val="none"/>
        </w:rPr>
        <w:br w:type="page"/>
      </w:r>
    </w:p>
    <w:p w14:paraId="40A255D9">
      <w:pPr>
        <w:pStyle w:val="2"/>
        <w:numPr>
          <w:ilvl w:val="0"/>
          <w:numId w:val="5"/>
        </w:numPr>
        <w:spacing w:before="120" w:after="120" w:line="360" w:lineRule="auto"/>
        <w:jc w:val="center"/>
        <w:rPr>
          <w:rFonts w:hint="eastAsia" w:ascii="宋体" w:hAnsi="宋体"/>
          <w:kern w:val="2"/>
          <w:sz w:val="32"/>
          <w:highlight w:val="none"/>
        </w:rPr>
      </w:pPr>
      <w:r>
        <w:rPr>
          <w:rFonts w:hint="eastAsia" w:ascii="宋体" w:hAnsi="宋体"/>
          <w:kern w:val="2"/>
          <w:sz w:val="32"/>
          <w:highlight w:val="none"/>
        </w:rPr>
        <w:t xml:space="preserve"> </w:t>
      </w:r>
      <w:bookmarkStart w:id="119" w:name="_Toc9653"/>
      <w:r>
        <w:rPr>
          <w:rFonts w:hint="eastAsia" w:ascii="宋体" w:hAnsi="宋体"/>
          <w:kern w:val="2"/>
          <w:sz w:val="32"/>
          <w:highlight w:val="none"/>
        </w:rPr>
        <w:t>评标方法</w:t>
      </w:r>
      <w:bookmarkEnd w:id="119"/>
    </w:p>
    <w:p w14:paraId="776A6CF3">
      <w:pPr>
        <w:spacing w:line="360" w:lineRule="auto"/>
        <w:ind w:firstLine="477" w:firstLineChars="198"/>
        <w:rPr>
          <w:rFonts w:ascii="宋体" w:hAnsi="宋体"/>
          <w:b/>
          <w:sz w:val="24"/>
          <w:highlight w:val="none"/>
        </w:rPr>
      </w:pPr>
      <w:r>
        <w:rPr>
          <w:rFonts w:hint="eastAsia" w:ascii="宋体" w:hAnsi="宋体"/>
          <w:b/>
          <w:sz w:val="24"/>
          <w:highlight w:val="none"/>
        </w:rPr>
        <w:t>一、评标方法</w:t>
      </w:r>
    </w:p>
    <w:p w14:paraId="4E49FF38">
      <w:pPr>
        <w:spacing w:line="360" w:lineRule="auto"/>
        <w:ind w:firstLine="475" w:firstLineChars="198"/>
        <w:rPr>
          <w:rFonts w:ascii="宋体" w:hAnsi="宋体"/>
          <w:sz w:val="24"/>
          <w:highlight w:val="none"/>
        </w:rPr>
      </w:pPr>
      <w:r>
        <w:rPr>
          <w:rFonts w:ascii="宋体" w:hAnsi="宋体"/>
          <w:sz w:val="24"/>
          <w:highlight w:val="none"/>
        </w:rPr>
        <w:t>1.1</w:t>
      </w:r>
      <w:r>
        <w:rPr>
          <w:rFonts w:hint="eastAsia" w:ascii="宋体" w:hAnsi="宋体"/>
          <w:sz w:val="24"/>
          <w:highlight w:val="none"/>
        </w:rPr>
        <w:t>本项目评标方法采用综合评分法。评标委员会将依据各供应商投标文件，对其商务、价格、服务等各项因素进行评价并按评分细则进行打分。每一供应商的最终得分为所有评委评分的算术平均值。</w:t>
      </w:r>
    </w:p>
    <w:p w14:paraId="4A12F4A5">
      <w:pPr>
        <w:spacing w:line="360" w:lineRule="auto"/>
        <w:ind w:firstLine="475" w:firstLineChars="198"/>
        <w:rPr>
          <w:highlight w:val="none"/>
        </w:rPr>
      </w:pPr>
      <w:r>
        <w:rPr>
          <w:rFonts w:ascii="宋体" w:hAnsi="宋体"/>
          <w:sz w:val="24"/>
          <w:highlight w:val="none"/>
        </w:rPr>
        <w:t>1.2</w:t>
      </w:r>
      <w:r>
        <w:rPr>
          <w:rFonts w:hint="eastAsia" w:ascii="宋体" w:hAnsi="宋体"/>
          <w:sz w:val="24"/>
          <w:highlight w:val="none"/>
        </w:rPr>
        <w:t>评标委员会按各供应商最终得分由高到低顺序排列，按招标文件规定的中标候选人数量推荐中标候选人。得分相同的，按投标报价由低到高顺序排列，得分且投标报价相同的，按服务方案优劣顺序排列；上述得分均相同的，由采购人授权评标委员会确定。</w:t>
      </w:r>
    </w:p>
    <w:p w14:paraId="1024C51E">
      <w:pPr>
        <w:numPr>
          <w:ilvl w:val="0"/>
          <w:numId w:val="6"/>
        </w:numPr>
        <w:spacing w:line="360" w:lineRule="auto"/>
        <w:ind w:firstLine="477" w:firstLineChars="198"/>
        <w:rPr>
          <w:rFonts w:hint="eastAsia" w:ascii="宋体" w:hAnsi="宋体"/>
          <w:b/>
          <w:sz w:val="24"/>
          <w:highlight w:val="none"/>
        </w:rPr>
      </w:pPr>
      <w:r>
        <w:rPr>
          <w:rFonts w:hint="eastAsia" w:ascii="宋体" w:hAnsi="宋体"/>
          <w:b/>
          <w:sz w:val="24"/>
          <w:highlight w:val="none"/>
        </w:rPr>
        <w:t>评审细则</w:t>
      </w:r>
    </w:p>
    <w:p w14:paraId="5E337AAC">
      <w:pPr>
        <w:spacing w:line="360" w:lineRule="auto"/>
        <w:ind w:right="2" w:firstLine="480"/>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B包：消防控制室服务</w:t>
      </w:r>
    </w:p>
    <w:tbl>
      <w:tblPr>
        <w:tblStyle w:val="75"/>
        <w:tblW w:w="9393" w:type="dxa"/>
        <w:tblInd w:w="5" w:type="dxa"/>
        <w:tblLayout w:type="fixed"/>
        <w:tblCellMar>
          <w:top w:w="0" w:type="dxa"/>
          <w:left w:w="0" w:type="dxa"/>
          <w:bottom w:w="0" w:type="dxa"/>
          <w:right w:w="0" w:type="dxa"/>
        </w:tblCellMar>
      </w:tblPr>
      <w:tblGrid>
        <w:gridCol w:w="1061"/>
        <w:gridCol w:w="875"/>
        <w:gridCol w:w="7457"/>
      </w:tblGrid>
      <w:tr w14:paraId="49FFB43E">
        <w:tblPrEx>
          <w:tblCellMar>
            <w:top w:w="0" w:type="dxa"/>
            <w:left w:w="0" w:type="dxa"/>
            <w:bottom w:w="0" w:type="dxa"/>
            <w:right w:w="0" w:type="dxa"/>
          </w:tblCellMar>
        </w:tblPrEx>
        <w:trPr>
          <w:trHeight w:val="490" w:hRule="exact"/>
          <w:tblHeader/>
        </w:trPr>
        <w:tc>
          <w:tcPr>
            <w:tcW w:w="1061" w:type="dxa"/>
            <w:tcBorders>
              <w:top w:val="single" w:color="000000" w:sz="6" w:space="0"/>
              <w:left w:val="single" w:color="auto" w:sz="4" w:space="0"/>
              <w:bottom w:val="single" w:color="000000" w:sz="6" w:space="0"/>
              <w:right w:val="single" w:color="000000" w:sz="6" w:space="0"/>
            </w:tcBorders>
            <w:noWrap w:val="0"/>
            <w:vAlign w:val="center"/>
          </w:tcPr>
          <w:p w14:paraId="1F4079D8">
            <w:pPr>
              <w:spacing w:line="360" w:lineRule="auto"/>
              <w:jc w:val="center"/>
              <w:rPr>
                <w:rFonts w:ascii="宋体" w:hAnsi="宋体"/>
                <w:b/>
                <w:sz w:val="24"/>
                <w:highlight w:val="none"/>
              </w:rPr>
            </w:pPr>
            <w:r>
              <w:rPr>
                <w:rFonts w:hint="eastAsia" w:ascii="宋体" w:hAnsi="宋体"/>
                <w:b/>
                <w:sz w:val="24"/>
                <w:highlight w:val="none"/>
              </w:rPr>
              <w:t>评审内容</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14:paraId="43758A95">
            <w:pPr>
              <w:spacing w:line="360" w:lineRule="auto"/>
              <w:jc w:val="center"/>
              <w:rPr>
                <w:rFonts w:ascii="宋体" w:hAnsi="宋体"/>
                <w:b/>
                <w:sz w:val="24"/>
                <w:highlight w:val="none"/>
              </w:rPr>
            </w:pPr>
            <w:r>
              <w:rPr>
                <w:rFonts w:hint="eastAsia" w:ascii="宋体" w:hAnsi="宋体"/>
                <w:b/>
                <w:sz w:val="24"/>
                <w:highlight w:val="none"/>
              </w:rPr>
              <w:t>满</w:t>
            </w:r>
            <w:r>
              <w:rPr>
                <w:rFonts w:ascii="宋体" w:hAnsi="宋体"/>
                <w:b/>
                <w:sz w:val="24"/>
                <w:highlight w:val="none"/>
              </w:rPr>
              <w:t xml:space="preserve"> </w:t>
            </w:r>
            <w:r>
              <w:rPr>
                <w:rFonts w:hint="eastAsia" w:ascii="宋体" w:hAnsi="宋体"/>
                <w:b/>
                <w:sz w:val="24"/>
                <w:highlight w:val="none"/>
              </w:rPr>
              <w:t>分</w:t>
            </w:r>
          </w:p>
        </w:tc>
        <w:tc>
          <w:tcPr>
            <w:tcW w:w="7457" w:type="dxa"/>
            <w:tcBorders>
              <w:top w:val="single" w:color="000000" w:sz="6" w:space="0"/>
              <w:left w:val="single" w:color="000000" w:sz="6" w:space="0"/>
              <w:bottom w:val="single" w:color="000000" w:sz="6" w:space="0"/>
              <w:right w:val="single" w:color="000000" w:sz="6" w:space="0"/>
            </w:tcBorders>
            <w:noWrap w:val="0"/>
            <w:vAlign w:val="center"/>
          </w:tcPr>
          <w:p w14:paraId="7FF0691D">
            <w:pPr>
              <w:spacing w:line="360" w:lineRule="auto"/>
              <w:jc w:val="center"/>
              <w:rPr>
                <w:rFonts w:ascii="宋体" w:hAnsi="宋体"/>
                <w:b/>
                <w:sz w:val="24"/>
                <w:highlight w:val="none"/>
              </w:rPr>
            </w:pPr>
            <w:r>
              <w:rPr>
                <w:rFonts w:hint="eastAsia" w:ascii="宋体" w:hAnsi="宋体"/>
                <w:b/>
                <w:sz w:val="24"/>
                <w:highlight w:val="none"/>
              </w:rPr>
              <w:t>评分标准</w:t>
            </w:r>
          </w:p>
        </w:tc>
      </w:tr>
      <w:tr w14:paraId="143D7E78">
        <w:tblPrEx>
          <w:tblCellMar>
            <w:top w:w="0" w:type="dxa"/>
            <w:left w:w="0" w:type="dxa"/>
            <w:bottom w:w="0" w:type="dxa"/>
            <w:right w:w="0" w:type="dxa"/>
          </w:tblCellMar>
        </w:tblPrEx>
        <w:trPr>
          <w:trHeight w:val="1393" w:hRule="exact"/>
        </w:trPr>
        <w:tc>
          <w:tcPr>
            <w:tcW w:w="1061" w:type="dxa"/>
            <w:tcBorders>
              <w:top w:val="single" w:color="000000" w:sz="6" w:space="0"/>
              <w:left w:val="single" w:color="auto" w:sz="4" w:space="0"/>
              <w:bottom w:val="single" w:color="000000" w:sz="6" w:space="0"/>
              <w:right w:val="single" w:color="000000" w:sz="6" w:space="0"/>
            </w:tcBorders>
            <w:noWrap w:val="0"/>
            <w:vAlign w:val="center"/>
          </w:tcPr>
          <w:p w14:paraId="665542C0">
            <w:pPr>
              <w:spacing w:line="360" w:lineRule="auto"/>
              <w:rPr>
                <w:rFonts w:ascii="宋体" w:hAnsi="宋体"/>
                <w:sz w:val="24"/>
                <w:highlight w:val="none"/>
              </w:rPr>
            </w:pPr>
            <w:r>
              <w:rPr>
                <w:rFonts w:hint="eastAsia" w:ascii="宋体" w:hAnsi="宋体"/>
                <w:sz w:val="24"/>
                <w:highlight w:val="none"/>
              </w:rPr>
              <w:t>报价得分</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14:paraId="6839F755">
            <w:pPr>
              <w:spacing w:line="360" w:lineRule="auto"/>
              <w:jc w:val="center"/>
              <w:rPr>
                <w:rFonts w:ascii="宋体" w:hAnsi="宋体"/>
                <w:sz w:val="24"/>
                <w:highlight w:val="none"/>
              </w:rPr>
            </w:pPr>
            <w:r>
              <w:rPr>
                <w:rFonts w:hint="eastAsia" w:ascii="宋体" w:hAnsi="宋体"/>
                <w:sz w:val="24"/>
                <w:highlight w:val="none"/>
                <w:lang w:val="en-US" w:eastAsia="zh-CN"/>
              </w:rPr>
              <w:t>30</w:t>
            </w:r>
            <w:r>
              <w:rPr>
                <w:rFonts w:hint="eastAsia" w:ascii="宋体" w:hAnsi="宋体"/>
                <w:sz w:val="24"/>
                <w:highlight w:val="none"/>
              </w:rPr>
              <w:t>分</w:t>
            </w:r>
          </w:p>
        </w:tc>
        <w:tc>
          <w:tcPr>
            <w:tcW w:w="7457" w:type="dxa"/>
            <w:tcBorders>
              <w:top w:val="single" w:color="000000" w:sz="6" w:space="0"/>
              <w:left w:val="single" w:color="000000" w:sz="6" w:space="0"/>
              <w:bottom w:val="single" w:color="000000" w:sz="6" w:space="0"/>
              <w:right w:val="single" w:color="000000" w:sz="6" w:space="0"/>
            </w:tcBorders>
            <w:noWrap w:val="0"/>
            <w:vAlign w:val="top"/>
          </w:tcPr>
          <w:p w14:paraId="695A8FAD">
            <w:pPr>
              <w:spacing w:line="360" w:lineRule="auto"/>
              <w:rPr>
                <w:rFonts w:hint="eastAsia" w:ascii="宋体" w:hAnsi="宋体" w:eastAsia="宋体"/>
                <w:sz w:val="24"/>
                <w:highlight w:val="none"/>
                <w:lang w:eastAsia="zh-CN"/>
              </w:rPr>
            </w:pPr>
            <w:r>
              <w:rPr>
                <w:rFonts w:hint="eastAsia" w:ascii="宋体" w:hAnsi="宋体"/>
                <w:sz w:val="24"/>
                <w:highlight w:val="none"/>
              </w:rPr>
              <w:t>满足招标文件实质性要求且报价最低的供应商报价作为评标基准价，其价格分为满分，其他供应商的报价分统一按照下列公式计算：报价得分=（评标基准价/投标报价）×</w:t>
            </w:r>
            <w:r>
              <w:rPr>
                <w:rFonts w:hint="eastAsia" w:ascii="宋体" w:hAnsi="宋体"/>
                <w:sz w:val="24"/>
                <w:highlight w:val="none"/>
                <w:lang w:val="en-US" w:eastAsia="zh-CN"/>
              </w:rPr>
              <w:t>30</w:t>
            </w:r>
            <w:r>
              <w:rPr>
                <w:rFonts w:hint="eastAsia" w:ascii="宋体" w:hAnsi="宋体"/>
                <w:sz w:val="24"/>
                <w:highlight w:val="none"/>
              </w:rPr>
              <w:t>×100%</w:t>
            </w:r>
            <w:r>
              <w:rPr>
                <w:rFonts w:hint="eastAsia" w:ascii="宋体" w:hAnsi="宋体"/>
                <w:sz w:val="24"/>
                <w:highlight w:val="none"/>
                <w:lang w:eastAsia="zh-CN"/>
              </w:rPr>
              <w:t>。</w:t>
            </w:r>
          </w:p>
        </w:tc>
      </w:tr>
      <w:tr w14:paraId="60B068E5">
        <w:tblPrEx>
          <w:tblCellMar>
            <w:top w:w="0" w:type="dxa"/>
            <w:left w:w="0" w:type="dxa"/>
            <w:bottom w:w="0" w:type="dxa"/>
            <w:right w:w="0" w:type="dxa"/>
          </w:tblCellMar>
        </w:tblPrEx>
        <w:trPr>
          <w:trHeight w:val="2754" w:hRule="exact"/>
        </w:trPr>
        <w:tc>
          <w:tcPr>
            <w:tcW w:w="1061" w:type="dxa"/>
            <w:tcBorders>
              <w:top w:val="single" w:color="000000" w:sz="6" w:space="0"/>
              <w:left w:val="single" w:color="auto" w:sz="4" w:space="0"/>
              <w:bottom w:val="single" w:color="000000" w:sz="6" w:space="0"/>
              <w:right w:val="single" w:color="000000" w:sz="6" w:space="0"/>
            </w:tcBorders>
            <w:noWrap w:val="0"/>
            <w:vAlign w:val="center"/>
          </w:tcPr>
          <w:p w14:paraId="0405CE90">
            <w:pPr>
              <w:spacing w:line="360" w:lineRule="auto"/>
              <w:jc w:val="center"/>
              <w:rPr>
                <w:rFonts w:ascii="宋体" w:hAnsi="宋体" w:cs="宋体"/>
                <w:bCs/>
                <w:sz w:val="24"/>
                <w:highlight w:val="none"/>
              </w:rPr>
            </w:pPr>
            <w:r>
              <w:rPr>
                <w:rFonts w:hint="eastAsia" w:ascii="宋体" w:hAnsi="宋体" w:cs="宋体"/>
                <w:bCs/>
                <w:sz w:val="24"/>
                <w:highlight w:val="none"/>
              </w:rPr>
              <w:t>整体服务方案</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14:paraId="5DB2949C">
            <w:pPr>
              <w:spacing w:line="360" w:lineRule="auto"/>
              <w:jc w:val="center"/>
              <w:rPr>
                <w:rFonts w:ascii="宋体" w:hAnsi="宋体"/>
                <w:sz w:val="24"/>
                <w:highlight w:val="none"/>
              </w:rPr>
            </w:pPr>
            <w:r>
              <w:rPr>
                <w:rFonts w:hint="eastAsia" w:ascii="宋体" w:hAnsi="宋体"/>
                <w:sz w:val="24"/>
                <w:highlight w:val="none"/>
                <w:lang w:val="en-US" w:eastAsia="zh-CN"/>
              </w:rPr>
              <w:t>5</w:t>
            </w:r>
            <w:r>
              <w:rPr>
                <w:rFonts w:hint="eastAsia" w:ascii="宋体" w:hAnsi="宋体"/>
                <w:sz w:val="24"/>
                <w:highlight w:val="none"/>
              </w:rPr>
              <w:t>分</w:t>
            </w:r>
          </w:p>
        </w:tc>
        <w:tc>
          <w:tcPr>
            <w:tcW w:w="7457" w:type="dxa"/>
            <w:tcBorders>
              <w:top w:val="single" w:color="000000" w:sz="6" w:space="0"/>
              <w:left w:val="single" w:color="000000" w:sz="6" w:space="0"/>
              <w:bottom w:val="single" w:color="000000" w:sz="6" w:space="0"/>
              <w:right w:val="single" w:color="000000" w:sz="6" w:space="0"/>
            </w:tcBorders>
            <w:noWrap w:val="0"/>
            <w:vAlign w:val="top"/>
          </w:tcPr>
          <w:p w14:paraId="2732781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rPr>
              <w:t>结合本项目实际情况，根据供应商提出整体服务方案进行评价。</w:t>
            </w:r>
          </w:p>
          <w:p w14:paraId="5D68EE64">
            <w:pPr>
              <w:keepNext w:val="0"/>
              <w:keepLines w:val="0"/>
              <w:pageBreakBefore w:val="0"/>
              <w:widowControl/>
              <w:numPr>
                <w:ilvl w:val="0"/>
                <w:numId w:val="7"/>
              </w:numPr>
              <w:kinsoku/>
              <w:wordWrap/>
              <w:overflowPunct/>
              <w:topLinePunct w:val="0"/>
              <w:autoSpaceDE/>
              <w:autoSpaceDN/>
              <w:bidi w:val="0"/>
              <w:adjustRightInd/>
              <w:snapToGrid/>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rPr>
              <w:t>方案科学、合理、可行，贴合项目实际的得</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分。</w:t>
            </w:r>
          </w:p>
          <w:p w14:paraId="640A9305">
            <w:pPr>
              <w:keepNext w:val="0"/>
              <w:keepLines w:val="0"/>
              <w:pageBreakBefore w:val="0"/>
              <w:widowControl/>
              <w:numPr>
                <w:ilvl w:val="0"/>
                <w:numId w:val="7"/>
              </w:numPr>
              <w:kinsoku/>
              <w:wordWrap/>
              <w:overflowPunct/>
              <w:topLinePunct w:val="0"/>
              <w:autoSpaceDE/>
              <w:autoSpaceDN/>
              <w:bidi w:val="0"/>
              <w:adjustRightInd/>
              <w:snapToGrid/>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方案较科学、较合理、较可行，能贴合项目实际的得4分；</w:t>
            </w:r>
          </w:p>
          <w:p w14:paraId="4E60E2B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）方案基本科学合理可行，基本符合项目情况的得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w:t>
            </w:r>
          </w:p>
          <w:p w14:paraId="6D74A56F">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）方案</w:t>
            </w:r>
            <w:r>
              <w:rPr>
                <w:rFonts w:hint="eastAsia" w:ascii="宋体" w:hAnsi="宋体" w:cs="宋体"/>
                <w:color w:val="auto"/>
                <w:sz w:val="24"/>
                <w:highlight w:val="none"/>
                <w:lang w:val="en-US" w:eastAsia="zh-CN"/>
              </w:rPr>
              <w:t>简单、可行性差</w:t>
            </w:r>
            <w:r>
              <w:rPr>
                <w:rFonts w:hint="eastAsia" w:ascii="宋体" w:hAnsi="宋体" w:cs="宋体"/>
                <w:color w:val="auto"/>
                <w:sz w:val="24"/>
                <w:highlight w:val="none"/>
              </w:rPr>
              <w:t>的，得</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w:t>
            </w:r>
          </w:p>
          <w:p w14:paraId="1FF9958A">
            <w:pPr>
              <w:spacing w:line="360" w:lineRule="auto"/>
              <w:rPr>
                <w:rFonts w:ascii="宋体" w:hAnsi="宋体"/>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5</w:t>
            </w:r>
            <w:r>
              <w:rPr>
                <w:rFonts w:hint="eastAsia" w:ascii="宋体" w:hAnsi="宋体" w:cs="宋体"/>
                <w:color w:val="auto"/>
                <w:sz w:val="24"/>
                <w:highlight w:val="none"/>
                <w:lang w:eastAsia="zh-CN"/>
              </w:rPr>
              <w:t>）</w:t>
            </w:r>
            <w:r>
              <w:rPr>
                <w:rFonts w:hint="eastAsia" w:ascii="宋体" w:hAnsi="宋体" w:cs="宋体"/>
                <w:color w:val="auto"/>
                <w:sz w:val="24"/>
                <w:highlight w:val="none"/>
              </w:rPr>
              <w:t>无此项内容不得分。</w:t>
            </w:r>
          </w:p>
        </w:tc>
      </w:tr>
      <w:tr w14:paraId="3C9B9A38">
        <w:tblPrEx>
          <w:tblCellMar>
            <w:top w:w="0" w:type="dxa"/>
            <w:left w:w="0" w:type="dxa"/>
            <w:bottom w:w="0" w:type="dxa"/>
            <w:right w:w="0" w:type="dxa"/>
          </w:tblCellMar>
        </w:tblPrEx>
        <w:trPr>
          <w:trHeight w:val="3317" w:hRule="exact"/>
        </w:trPr>
        <w:tc>
          <w:tcPr>
            <w:tcW w:w="1061" w:type="dxa"/>
            <w:tcBorders>
              <w:top w:val="single" w:color="000000" w:sz="6" w:space="0"/>
              <w:left w:val="single" w:color="auto" w:sz="4" w:space="0"/>
              <w:bottom w:val="single" w:color="000000" w:sz="6" w:space="0"/>
              <w:right w:val="single" w:color="000000" w:sz="6" w:space="0"/>
            </w:tcBorders>
            <w:noWrap w:val="0"/>
            <w:vAlign w:val="center"/>
          </w:tcPr>
          <w:p w14:paraId="7B2697A6">
            <w:pPr>
              <w:spacing w:line="360" w:lineRule="auto"/>
              <w:jc w:val="center"/>
              <w:rPr>
                <w:rFonts w:ascii="宋体" w:hAnsi="宋体" w:cs="宋体"/>
                <w:sz w:val="24"/>
                <w:highlight w:val="none"/>
              </w:rPr>
            </w:pPr>
            <w:r>
              <w:rPr>
                <w:rFonts w:hint="eastAsia" w:ascii="宋体" w:hAnsi="宋体" w:cs="宋体"/>
                <w:sz w:val="24"/>
                <w:highlight w:val="none"/>
              </w:rPr>
              <w:t>管理制度和员工考核制度</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14:paraId="2396A92F">
            <w:pPr>
              <w:spacing w:line="360" w:lineRule="auto"/>
              <w:jc w:val="center"/>
              <w:rPr>
                <w:rFonts w:hint="eastAsia" w:ascii="宋体" w:hAnsi="宋体" w:cs="宋体"/>
                <w:sz w:val="24"/>
                <w:highlight w:val="none"/>
              </w:rPr>
            </w:pPr>
            <w:r>
              <w:rPr>
                <w:rFonts w:hint="eastAsia" w:ascii="宋体" w:hAnsi="宋体"/>
                <w:sz w:val="24"/>
                <w:highlight w:val="none"/>
              </w:rPr>
              <w:t>12分</w:t>
            </w:r>
          </w:p>
        </w:tc>
        <w:tc>
          <w:tcPr>
            <w:tcW w:w="7457" w:type="dxa"/>
            <w:tcBorders>
              <w:top w:val="single" w:color="000000" w:sz="6" w:space="0"/>
              <w:left w:val="single" w:color="000000" w:sz="6" w:space="0"/>
              <w:bottom w:val="single" w:color="000000" w:sz="6" w:space="0"/>
              <w:right w:val="single" w:color="000000" w:sz="6" w:space="0"/>
            </w:tcBorders>
            <w:noWrap w:val="0"/>
            <w:vAlign w:val="top"/>
          </w:tcPr>
          <w:p w14:paraId="03388495">
            <w:pPr>
              <w:pStyle w:val="41"/>
              <w:snapToGrid w:val="0"/>
              <w:spacing w:line="360" w:lineRule="auto"/>
              <w:rPr>
                <w:rFonts w:hint="eastAsia" w:hAnsi="宋体"/>
                <w:sz w:val="24"/>
                <w:szCs w:val="24"/>
                <w:highlight w:val="none"/>
              </w:rPr>
            </w:pPr>
            <w:r>
              <w:rPr>
                <w:rFonts w:hint="eastAsia" w:hAnsi="宋体"/>
                <w:sz w:val="24"/>
                <w:szCs w:val="24"/>
                <w:highlight w:val="none"/>
              </w:rPr>
              <w:t>根据供应商提供的①内部管理制度（包括但不限于行为规范、行政制度）②财务制度③质量控制制度④服务人员合同管理⑤岗位责任制度⑥岗位考核办法及执行制度进行综合评价：</w:t>
            </w:r>
            <w:r>
              <w:rPr>
                <w:rFonts w:hint="eastAsia" w:hAnsi="宋体" w:cs="宋体"/>
                <w:sz w:val="24"/>
                <w:highlight w:val="none"/>
              </w:rPr>
              <w:t>每项满分为2分，合计12分。</w:t>
            </w:r>
          </w:p>
          <w:p w14:paraId="3903E211">
            <w:pPr>
              <w:pStyle w:val="41"/>
              <w:numPr>
                <w:ilvl w:val="0"/>
                <w:numId w:val="8"/>
              </w:numPr>
              <w:tabs>
                <w:tab w:val="left" w:pos="5092"/>
              </w:tabs>
              <w:snapToGrid w:val="0"/>
              <w:spacing w:line="360" w:lineRule="auto"/>
              <w:rPr>
                <w:rFonts w:hint="eastAsia" w:hAnsi="宋体"/>
                <w:sz w:val="24"/>
                <w:szCs w:val="24"/>
                <w:highlight w:val="none"/>
              </w:rPr>
            </w:pPr>
            <w:r>
              <w:rPr>
                <w:rFonts w:hint="eastAsia" w:hAnsi="宋体"/>
                <w:sz w:val="24"/>
                <w:szCs w:val="24"/>
                <w:highlight w:val="none"/>
                <w:lang w:val="en-US" w:eastAsia="zh-CN"/>
              </w:rPr>
              <w:t>各项制度内容</w:t>
            </w:r>
            <w:r>
              <w:rPr>
                <w:rFonts w:hint="eastAsia" w:hAnsi="宋体"/>
                <w:sz w:val="24"/>
                <w:szCs w:val="24"/>
                <w:highlight w:val="none"/>
              </w:rPr>
              <w:t>详尽、科学、有针对性得2分。</w:t>
            </w:r>
            <w:r>
              <w:rPr>
                <w:rFonts w:hint="eastAsia" w:hAnsi="宋体"/>
                <w:sz w:val="24"/>
                <w:szCs w:val="24"/>
                <w:highlight w:val="none"/>
              </w:rPr>
              <w:tab/>
            </w:r>
          </w:p>
          <w:p w14:paraId="0B0D7513">
            <w:pPr>
              <w:spacing w:line="360" w:lineRule="auto"/>
              <w:rPr>
                <w:rFonts w:hint="eastAsia" w:ascii="宋体" w:hAnsi="宋体"/>
                <w:sz w:val="24"/>
                <w:highlight w:val="none"/>
              </w:rPr>
            </w:pPr>
            <w:r>
              <w:rPr>
                <w:rFonts w:hint="eastAsia" w:ascii="宋体" w:hAnsi="宋体"/>
                <w:sz w:val="24"/>
                <w:highlight w:val="none"/>
              </w:rPr>
              <w:t>（2）各项制度基本详细、全面得1分。</w:t>
            </w:r>
          </w:p>
          <w:p w14:paraId="28FC9DAF">
            <w:pPr>
              <w:spacing w:line="360" w:lineRule="auto"/>
              <w:rPr>
                <w:rFonts w:hint="eastAsia" w:ascii="宋体" w:hAnsi="宋体"/>
                <w:sz w:val="24"/>
                <w:highlight w:val="none"/>
              </w:rPr>
            </w:pPr>
            <w:r>
              <w:rPr>
                <w:rFonts w:hint="eastAsia" w:ascii="宋体" w:hAnsi="宋体"/>
                <w:sz w:val="24"/>
                <w:highlight w:val="none"/>
              </w:rPr>
              <w:t>（3）各项制度欠缺，</w:t>
            </w:r>
            <w:r>
              <w:rPr>
                <w:rFonts w:hint="eastAsia" w:ascii="宋体" w:hAnsi="宋体"/>
                <w:sz w:val="24"/>
                <w:highlight w:val="none"/>
                <w:lang w:eastAsia="zh-CN"/>
              </w:rPr>
              <w:t>不完善的</w:t>
            </w:r>
            <w:r>
              <w:rPr>
                <w:rFonts w:hint="eastAsia" w:ascii="宋体" w:hAnsi="宋体"/>
                <w:sz w:val="24"/>
                <w:highlight w:val="none"/>
                <w:lang w:val="en-US" w:eastAsia="zh-CN"/>
              </w:rPr>
              <w:t>得</w:t>
            </w:r>
            <w:r>
              <w:rPr>
                <w:rFonts w:hint="eastAsia" w:ascii="宋体" w:hAnsi="宋体"/>
                <w:sz w:val="24"/>
                <w:highlight w:val="none"/>
              </w:rPr>
              <w:t>0.5分。</w:t>
            </w:r>
          </w:p>
          <w:p w14:paraId="50C417AD">
            <w:pPr>
              <w:spacing w:line="360" w:lineRule="auto"/>
              <w:rPr>
                <w:rFonts w:hint="eastAsia" w:ascii="宋体" w:hAnsi="宋体" w:cs="宋体"/>
                <w:sz w:val="24"/>
                <w:highlight w:val="none"/>
              </w:rPr>
            </w:pPr>
            <w:r>
              <w:rPr>
                <w:rFonts w:hint="eastAsia" w:ascii="宋体" w:hAnsi="宋体"/>
                <w:sz w:val="24"/>
                <w:highlight w:val="none"/>
              </w:rPr>
              <w:t>未提供不得分。</w:t>
            </w:r>
          </w:p>
        </w:tc>
      </w:tr>
      <w:tr w14:paraId="49445553">
        <w:tblPrEx>
          <w:tblCellMar>
            <w:top w:w="0" w:type="dxa"/>
            <w:left w:w="0" w:type="dxa"/>
            <w:bottom w:w="0" w:type="dxa"/>
            <w:right w:w="0" w:type="dxa"/>
          </w:tblCellMar>
        </w:tblPrEx>
        <w:trPr>
          <w:trHeight w:val="3630" w:hRule="exact"/>
        </w:trPr>
        <w:tc>
          <w:tcPr>
            <w:tcW w:w="1061" w:type="dxa"/>
            <w:tcBorders>
              <w:top w:val="single" w:color="000000" w:sz="6" w:space="0"/>
              <w:left w:val="single" w:color="auto" w:sz="4" w:space="0"/>
              <w:bottom w:val="single" w:color="000000" w:sz="6" w:space="0"/>
              <w:right w:val="single" w:color="000000" w:sz="6" w:space="0"/>
            </w:tcBorders>
            <w:noWrap w:val="0"/>
            <w:vAlign w:val="center"/>
          </w:tcPr>
          <w:p w14:paraId="69917455">
            <w:pPr>
              <w:spacing w:line="360" w:lineRule="auto"/>
              <w:jc w:val="center"/>
              <w:rPr>
                <w:rFonts w:ascii="宋体" w:hAnsi="宋体" w:cs="宋体"/>
                <w:bCs/>
                <w:sz w:val="24"/>
                <w:highlight w:val="none"/>
              </w:rPr>
            </w:pPr>
            <w:r>
              <w:rPr>
                <w:rFonts w:hint="eastAsia" w:ascii="宋体" w:hAnsi="宋体" w:cs="宋体"/>
                <w:bCs/>
                <w:sz w:val="24"/>
                <w:highlight w:val="none"/>
              </w:rPr>
              <w:t>服务流程及管理方案</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14:paraId="1B0C8FD6">
            <w:pPr>
              <w:spacing w:line="360" w:lineRule="auto"/>
              <w:jc w:val="center"/>
              <w:rPr>
                <w:rFonts w:ascii="宋体" w:hAnsi="宋体"/>
                <w:sz w:val="24"/>
                <w:highlight w:val="none"/>
              </w:rPr>
            </w:pPr>
            <w:r>
              <w:rPr>
                <w:rFonts w:hint="eastAsia" w:ascii="宋体" w:hAnsi="宋体"/>
                <w:sz w:val="24"/>
                <w:highlight w:val="none"/>
              </w:rPr>
              <w:t>8分</w:t>
            </w:r>
          </w:p>
        </w:tc>
        <w:tc>
          <w:tcPr>
            <w:tcW w:w="7457" w:type="dxa"/>
            <w:tcBorders>
              <w:top w:val="single" w:color="000000" w:sz="6" w:space="0"/>
              <w:left w:val="single" w:color="000000" w:sz="6" w:space="0"/>
              <w:bottom w:val="single" w:color="000000" w:sz="6" w:space="0"/>
              <w:right w:val="single" w:color="000000" w:sz="6" w:space="0"/>
            </w:tcBorders>
            <w:noWrap w:val="0"/>
            <w:vAlign w:val="top"/>
          </w:tcPr>
          <w:p w14:paraId="4D04FA17">
            <w:pPr>
              <w:autoSpaceDE w:val="0"/>
              <w:autoSpaceDN w:val="0"/>
              <w:adjustRightInd w:val="0"/>
              <w:spacing w:line="360" w:lineRule="auto"/>
              <w:rPr>
                <w:rFonts w:hint="eastAsia" w:ascii="宋体" w:hAnsi="宋体" w:cs="宋体"/>
                <w:sz w:val="24"/>
                <w:highlight w:val="none"/>
              </w:rPr>
            </w:pPr>
            <w:r>
              <w:rPr>
                <w:rFonts w:hint="eastAsia" w:ascii="宋体" w:hAnsi="宋体" w:cs="宋体"/>
                <w:sz w:val="24"/>
                <w:highlight w:val="none"/>
              </w:rPr>
              <w:t>对①服务流程②管理服务架构③人员档案、薪资管理等方案④关系维护方案（含劳动争议处理、风险防范、增值服务等）综合评价：每项满分为2分，合计8分。</w:t>
            </w:r>
          </w:p>
          <w:p w14:paraId="12C59A20">
            <w:pPr>
              <w:autoSpaceDE w:val="0"/>
              <w:autoSpaceDN w:val="0"/>
              <w:adjustRightInd w:val="0"/>
              <w:spacing w:line="360" w:lineRule="auto"/>
              <w:rPr>
                <w:rFonts w:hint="eastAsia" w:ascii="宋体" w:hAnsi="宋体" w:eastAsia="宋体" w:cs="宋体"/>
                <w:sz w:val="24"/>
                <w:highlight w:val="none"/>
                <w:lang w:eastAsia="zh-CN"/>
              </w:rPr>
            </w:pPr>
            <w:r>
              <w:rPr>
                <w:rFonts w:hint="eastAsia" w:ascii="宋体" w:hAnsi="宋体" w:cs="宋体"/>
                <w:sz w:val="24"/>
                <w:highlight w:val="none"/>
              </w:rPr>
              <w:t>（1）方案描述清晰完善、详细具体，能够有效指导工作开展得2分</w:t>
            </w:r>
            <w:r>
              <w:rPr>
                <w:rFonts w:hint="eastAsia" w:ascii="宋体" w:hAnsi="宋体" w:cs="宋体"/>
                <w:sz w:val="24"/>
                <w:highlight w:val="none"/>
                <w:lang w:eastAsia="zh-CN"/>
              </w:rPr>
              <w:t>；</w:t>
            </w:r>
          </w:p>
          <w:p w14:paraId="0D6BC8F6">
            <w:pPr>
              <w:autoSpaceDE w:val="0"/>
              <w:autoSpaceDN w:val="0"/>
              <w:adjustRightInd w:val="0"/>
              <w:spacing w:line="360" w:lineRule="auto"/>
              <w:rPr>
                <w:rFonts w:hint="eastAsia" w:ascii="宋体" w:hAnsi="宋体" w:eastAsia="宋体" w:cs="宋体"/>
                <w:sz w:val="24"/>
                <w:highlight w:val="none"/>
                <w:lang w:eastAsia="zh-CN"/>
              </w:rPr>
            </w:pPr>
            <w:r>
              <w:rPr>
                <w:rFonts w:hint="eastAsia" w:ascii="宋体" w:hAnsi="宋体" w:cs="宋体"/>
                <w:sz w:val="24"/>
                <w:highlight w:val="none"/>
              </w:rPr>
              <w:t>（2）方案描述基本清晰完善、基本详细具体，基本能够有效指导工作开展</w:t>
            </w:r>
            <w:r>
              <w:rPr>
                <w:rFonts w:hint="eastAsia" w:ascii="宋体" w:hAnsi="宋体" w:cs="宋体"/>
                <w:sz w:val="24"/>
                <w:highlight w:val="none"/>
                <w:lang w:val="en-US" w:eastAsia="zh-CN"/>
              </w:rPr>
              <w:t>的</w:t>
            </w:r>
            <w:r>
              <w:rPr>
                <w:rFonts w:hint="eastAsia" w:ascii="宋体" w:hAnsi="宋体" w:cs="宋体"/>
                <w:sz w:val="24"/>
                <w:highlight w:val="none"/>
              </w:rPr>
              <w:t>得1分</w:t>
            </w:r>
            <w:r>
              <w:rPr>
                <w:rFonts w:hint="eastAsia" w:ascii="宋体" w:hAnsi="宋体" w:cs="宋体"/>
                <w:sz w:val="24"/>
                <w:highlight w:val="none"/>
                <w:lang w:eastAsia="zh-CN"/>
              </w:rPr>
              <w:t>；</w:t>
            </w:r>
          </w:p>
          <w:p w14:paraId="331345E9">
            <w:pPr>
              <w:autoSpaceDE w:val="0"/>
              <w:autoSpaceDN w:val="0"/>
              <w:adjustRightInd w:val="0"/>
              <w:spacing w:line="360" w:lineRule="auto"/>
              <w:rPr>
                <w:rFonts w:hint="eastAsia" w:ascii="宋体" w:hAnsi="宋体" w:cs="宋体"/>
                <w:sz w:val="24"/>
                <w:highlight w:val="none"/>
              </w:rPr>
            </w:pPr>
            <w:r>
              <w:rPr>
                <w:rFonts w:hint="eastAsia" w:ascii="宋体" w:hAnsi="宋体" w:cs="宋体"/>
                <w:sz w:val="24"/>
                <w:highlight w:val="none"/>
              </w:rPr>
              <w:t>（3）方案描述过于简单，基本无指导作用得0.5分。</w:t>
            </w:r>
          </w:p>
          <w:p w14:paraId="79EACF81">
            <w:pPr>
              <w:autoSpaceDE w:val="0"/>
              <w:autoSpaceDN w:val="0"/>
              <w:adjustRightInd w:val="0"/>
              <w:spacing w:line="360" w:lineRule="auto"/>
              <w:rPr>
                <w:rFonts w:hint="eastAsia" w:ascii="宋体" w:hAnsi="宋体" w:cs="宋体"/>
                <w:sz w:val="24"/>
                <w:highlight w:val="none"/>
              </w:rPr>
            </w:pPr>
            <w:r>
              <w:rPr>
                <w:rFonts w:hint="eastAsia" w:ascii="宋体" w:hAnsi="宋体" w:cs="宋体"/>
                <w:sz w:val="24"/>
                <w:highlight w:val="none"/>
              </w:rPr>
              <w:t>未提供内容不得分。</w:t>
            </w:r>
          </w:p>
          <w:p w14:paraId="214E1E2F">
            <w:pPr>
              <w:autoSpaceDE w:val="0"/>
              <w:autoSpaceDN w:val="0"/>
              <w:adjustRightInd w:val="0"/>
              <w:spacing w:line="360" w:lineRule="auto"/>
              <w:rPr>
                <w:rFonts w:hint="eastAsia" w:ascii="宋体" w:hAnsi="宋体" w:cs="宋体"/>
                <w:sz w:val="24"/>
                <w:highlight w:val="none"/>
              </w:rPr>
            </w:pPr>
          </w:p>
          <w:p w14:paraId="32703EB2">
            <w:pPr>
              <w:pStyle w:val="172"/>
              <w:rPr>
                <w:rFonts w:hint="eastAsia"/>
                <w:color w:val="auto"/>
                <w:highlight w:val="none"/>
              </w:rPr>
            </w:pPr>
          </w:p>
        </w:tc>
      </w:tr>
      <w:tr w14:paraId="524D05C6">
        <w:tblPrEx>
          <w:tblCellMar>
            <w:top w:w="0" w:type="dxa"/>
            <w:left w:w="0" w:type="dxa"/>
            <w:bottom w:w="0" w:type="dxa"/>
            <w:right w:w="0" w:type="dxa"/>
          </w:tblCellMar>
        </w:tblPrEx>
        <w:trPr>
          <w:trHeight w:val="3226" w:hRule="exact"/>
        </w:trPr>
        <w:tc>
          <w:tcPr>
            <w:tcW w:w="1061" w:type="dxa"/>
            <w:tcBorders>
              <w:top w:val="single" w:color="000000" w:sz="6" w:space="0"/>
              <w:left w:val="single" w:color="auto" w:sz="4" w:space="0"/>
              <w:bottom w:val="single" w:color="000000" w:sz="6" w:space="0"/>
              <w:right w:val="single" w:color="000000" w:sz="6" w:space="0"/>
            </w:tcBorders>
            <w:noWrap w:val="0"/>
            <w:vAlign w:val="center"/>
          </w:tcPr>
          <w:p w14:paraId="62A0BEE6">
            <w:pPr>
              <w:spacing w:line="360" w:lineRule="auto"/>
              <w:rPr>
                <w:rFonts w:hint="eastAsia" w:ascii="宋体" w:hAnsi="宋体" w:cs="宋体"/>
                <w:bCs/>
                <w:sz w:val="24"/>
                <w:highlight w:val="none"/>
              </w:rPr>
            </w:pPr>
            <w:r>
              <w:rPr>
                <w:rFonts w:hint="eastAsia" w:ascii="宋体" w:hAnsi="宋体" w:cs="宋体"/>
                <w:sz w:val="24"/>
                <w:highlight w:val="none"/>
              </w:rPr>
              <w:t>人员流动解决方案</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14:paraId="7D9F3BF4">
            <w:pPr>
              <w:spacing w:line="360" w:lineRule="auto"/>
              <w:jc w:val="center"/>
              <w:rPr>
                <w:rFonts w:hint="eastAsia" w:ascii="宋体" w:hAnsi="宋体"/>
                <w:sz w:val="24"/>
                <w:highlight w:val="none"/>
              </w:rPr>
            </w:pPr>
            <w:r>
              <w:rPr>
                <w:rFonts w:hint="eastAsia" w:ascii="宋体" w:hAnsi="宋体"/>
                <w:sz w:val="24"/>
                <w:highlight w:val="none"/>
                <w:lang w:val="en-US" w:eastAsia="zh-CN"/>
              </w:rPr>
              <w:t>4</w:t>
            </w:r>
            <w:r>
              <w:rPr>
                <w:rFonts w:hint="eastAsia" w:ascii="宋体" w:hAnsi="宋体"/>
                <w:sz w:val="24"/>
                <w:highlight w:val="none"/>
              </w:rPr>
              <w:t>分</w:t>
            </w:r>
          </w:p>
        </w:tc>
        <w:tc>
          <w:tcPr>
            <w:tcW w:w="7457" w:type="dxa"/>
            <w:tcBorders>
              <w:top w:val="single" w:color="000000" w:sz="6" w:space="0"/>
              <w:left w:val="single" w:color="000000" w:sz="6" w:space="0"/>
              <w:bottom w:val="single" w:color="000000" w:sz="6" w:space="0"/>
              <w:right w:val="single" w:color="000000" w:sz="6" w:space="0"/>
            </w:tcBorders>
            <w:noWrap w:val="0"/>
            <w:vAlign w:val="top"/>
          </w:tcPr>
          <w:p w14:paraId="466A27A5">
            <w:pPr>
              <w:autoSpaceDE w:val="0"/>
              <w:autoSpaceDN w:val="0"/>
              <w:adjustRightInd w:val="0"/>
              <w:spacing w:line="360" w:lineRule="auto"/>
              <w:rPr>
                <w:rFonts w:ascii="宋体" w:hAnsi="宋体" w:cs="宋体"/>
                <w:sz w:val="24"/>
                <w:highlight w:val="none"/>
              </w:rPr>
            </w:pPr>
            <w:r>
              <w:rPr>
                <w:rFonts w:hint="eastAsia" w:ascii="宋体" w:hAnsi="宋体" w:cs="宋体"/>
                <w:sz w:val="24"/>
                <w:highlight w:val="none"/>
              </w:rPr>
              <w:t>针对发生的人员离职、离岗、人员流动等情况的综合服务解决方案进行评审。</w:t>
            </w:r>
          </w:p>
          <w:p w14:paraId="6CB8BA7F">
            <w:pPr>
              <w:autoSpaceDE w:val="0"/>
              <w:autoSpaceDN w:val="0"/>
              <w:adjustRightInd w:val="0"/>
              <w:spacing w:line="360" w:lineRule="auto"/>
              <w:rPr>
                <w:rFonts w:hint="eastAsia" w:ascii="宋体" w:hAnsi="宋体" w:eastAsia="宋体" w:cs="宋体"/>
                <w:sz w:val="24"/>
                <w:highlight w:val="none"/>
                <w:lang w:eastAsia="zh-CN"/>
              </w:rPr>
            </w:pPr>
            <w:r>
              <w:rPr>
                <w:rFonts w:hint="eastAsia" w:ascii="宋体" w:hAnsi="宋体" w:cs="宋体"/>
                <w:sz w:val="24"/>
                <w:highlight w:val="none"/>
              </w:rPr>
              <w:t>（1）方案详实，细致明晰，安排合理，切实可行，得</w:t>
            </w:r>
            <w:r>
              <w:rPr>
                <w:rFonts w:hint="eastAsia" w:ascii="宋体" w:hAnsi="宋体" w:cs="宋体"/>
                <w:sz w:val="24"/>
                <w:highlight w:val="none"/>
                <w:lang w:val="en-US" w:eastAsia="zh-CN"/>
              </w:rPr>
              <w:t>4</w:t>
            </w:r>
            <w:r>
              <w:rPr>
                <w:rFonts w:hint="eastAsia" w:ascii="宋体" w:hAnsi="宋体" w:cs="宋体"/>
                <w:sz w:val="24"/>
                <w:highlight w:val="none"/>
              </w:rPr>
              <w:t>分</w:t>
            </w:r>
            <w:r>
              <w:rPr>
                <w:rFonts w:hint="eastAsia" w:ascii="宋体" w:hAnsi="宋体" w:cs="宋体"/>
                <w:sz w:val="24"/>
                <w:highlight w:val="none"/>
                <w:lang w:eastAsia="zh-CN"/>
              </w:rPr>
              <w:t>；</w:t>
            </w:r>
          </w:p>
          <w:p w14:paraId="2C1119B2">
            <w:pPr>
              <w:autoSpaceDE w:val="0"/>
              <w:autoSpaceDN w:val="0"/>
              <w:adjustRightInd w:val="0"/>
              <w:spacing w:line="360" w:lineRule="auto"/>
              <w:rPr>
                <w:rFonts w:hint="eastAsia" w:ascii="宋体" w:hAnsi="宋体" w:eastAsia="宋体" w:cs="宋体"/>
                <w:sz w:val="24"/>
                <w:highlight w:val="none"/>
                <w:lang w:eastAsia="zh-CN"/>
              </w:rPr>
            </w:pPr>
            <w:r>
              <w:rPr>
                <w:rFonts w:hint="eastAsia" w:ascii="宋体" w:hAnsi="宋体" w:cs="宋体"/>
                <w:sz w:val="24"/>
                <w:highlight w:val="none"/>
              </w:rPr>
              <w:t>（2）方案比较详实明确，安排比较合理，得</w:t>
            </w:r>
            <w:r>
              <w:rPr>
                <w:rFonts w:hint="eastAsia" w:ascii="宋体" w:hAnsi="宋体" w:cs="宋体"/>
                <w:sz w:val="24"/>
                <w:highlight w:val="none"/>
                <w:lang w:val="en-US" w:eastAsia="zh-CN"/>
              </w:rPr>
              <w:t>3</w:t>
            </w:r>
            <w:r>
              <w:rPr>
                <w:rFonts w:hint="eastAsia" w:ascii="宋体" w:hAnsi="宋体" w:cs="宋体"/>
                <w:sz w:val="24"/>
                <w:highlight w:val="none"/>
              </w:rPr>
              <w:t>分</w:t>
            </w:r>
            <w:r>
              <w:rPr>
                <w:rFonts w:hint="eastAsia" w:ascii="宋体" w:hAnsi="宋体" w:cs="宋体"/>
                <w:sz w:val="24"/>
                <w:highlight w:val="none"/>
                <w:lang w:eastAsia="zh-CN"/>
              </w:rPr>
              <w:t>；</w:t>
            </w:r>
          </w:p>
          <w:p w14:paraId="2B27DCFE">
            <w:pPr>
              <w:autoSpaceDE w:val="0"/>
              <w:autoSpaceDN w:val="0"/>
              <w:adjustRightInd w:val="0"/>
              <w:spacing w:line="360" w:lineRule="auto"/>
              <w:rPr>
                <w:rFonts w:hint="eastAsia" w:ascii="宋体" w:hAnsi="宋体" w:cs="宋体"/>
                <w:sz w:val="24"/>
                <w:highlight w:val="none"/>
                <w:lang w:val="en-US" w:eastAsia="zh-CN"/>
              </w:rPr>
            </w:pPr>
            <w:r>
              <w:rPr>
                <w:rFonts w:hint="eastAsia" w:ascii="宋体" w:hAnsi="宋体" w:cs="宋体"/>
                <w:sz w:val="24"/>
                <w:highlight w:val="none"/>
              </w:rPr>
              <w:t>（3）</w:t>
            </w:r>
            <w:r>
              <w:rPr>
                <w:rFonts w:hint="eastAsia" w:ascii="宋体" w:hAnsi="宋体" w:cs="宋体"/>
                <w:sz w:val="24"/>
                <w:highlight w:val="none"/>
                <w:lang w:val="en-US" w:eastAsia="zh-CN"/>
              </w:rPr>
              <w:t>方案内容简单，安排基本可行的，得2分；</w:t>
            </w:r>
          </w:p>
          <w:p w14:paraId="2198F2BA">
            <w:pPr>
              <w:autoSpaceDE w:val="0"/>
              <w:autoSpaceDN w:val="0"/>
              <w:adjustRightInd w:val="0"/>
              <w:spacing w:line="360" w:lineRule="auto"/>
              <w:rPr>
                <w:rFonts w:hint="eastAsia" w:ascii="宋体" w:hAnsi="宋体" w:cs="宋体"/>
                <w:sz w:val="24"/>
                <w:highlight w:val="none"/>
              </w:rPr>
            </w:pPr>
            <w:r>
              <w:rPr>
                <w:rFonts w:hint="eastAsia" w:ascii="宋体" w:hAnsi="宋体" w:cs="宋体"/>
                <w:sz w:val="24"/>
                <w:highlight w:val="none"/>
                <w:lang w:eastAsia="zh-CN"/>
              </w:rPr>
              <w:t>（</w:t>
            </w:r>
            <w:r>
              <w:rPr>
                <w:rFonts w:hint="eastAsia" w:ascii="宋体" w:hAnsi="宋体" w:cs="宋体"/>
                <w:sz w:val="24"/>
                <w:highlight w:val="none"/>
                <w:lang w:val="en-US" w:eastAsia="zh-CN"/>
              </w:rPr>
              <w:t>4</w:t>
            </w:r>
            <w:r>
              <w:rPr>
                <w:rFonts w:hint="eastAsia" w:ascii="宋体" w:hAnsi="宋体" w:cs="宋体"/>
                <w:sz w:val="24"/>
                <w:highlight w:val="none"/>
                <w:lang w:eastAsia="zh-CN"/>
              </w:rPr>
              <w:t>）</w:t>
            </w:r>
            <w:r>
              <w:rPr>
                <w:rFonts w:hint="eastAsia" w:ascii="宋体" w:hAnsi="宋体" w:cs="宋体"/>
                <w:sz w:val="24"/>
                <w:highlight w:val="none"/>
              </w:rPr>
              <w:t>方案粗略，不具有可操作性，得</w:t>
            </w:r>
            <w:r>
              <w:rPr>
                <w:rFonts w:hint="eastAsia" w:ascii="宋体" w:hAnsi="宋体" w:cs="宋体"/>
                <w:sz w:val="24"/>
                <w:highlight w:val="none"/>
                <w:lang w:val="en-US" w:eastAsia="zh-CN"/>
              </w:rPr>
              <w:t>1</w:t>
            </w:r>
            <w:r>
              <w:rPr>
                <w:rFonts w:hint="eastAsia" w:ascii="宋体" w:hAnsi="宋体" w:cs="宋体"/>
                <w:sz w:val="24"/>
                <w:highlight w:val="none"/>
              </w:rPr>
              <w:t>分。</w:t>
            </w:r>
          </w:p>
          <w:p w14:paraId="55B012A1">
            <w:pPr>
              <w:autoSpaceDE w:val="0"/>
              <w:autoSpaceDN w:val="0"/>
              <w:adjustRightInd w:val="0"/>
              <w:spacing w:line="360" w:lineRule="auto"/>
              <w:rPr>
                <w:rFonts w:hint="eastAsia" w:ascii="宋体" w:hAnsi="宋体" w:cs="宋体"/>
                <w:sz w:val="24"/>
                <w:highlight w:val="none"/>
              </w:rPr>
            </w:pPr>
            <w:r>
              <w:rPr>
                <w:rFonts w:hint="eastAsia" w:ascii="宋体" w:hAnsi="宋体" w:cs="宋体"/>
                <w:sz w:val="24"/>
                <w:highlight w:val="none"/>
              </w:rPr>
              <w:t>未提供内容不得分。</w:t>
            </w:r>
          </w:p>
        </w:tc>
      </w:tr>
      <w:tr w14:paraId="7064312D">
        <w:tblPrEx>
          <w:tblCellMar>
            <w:top w:w="0" w:type="dxa"/>
            <w:left w:w="0" w:type="dxa"/>
            <w:bottom w:w="0" w:type="dxa"/>
            <w:right w:w="0" w:type="dxa"/>
          </w:tblCellMar>
        </w:tblPrEx>
        <w:trPr>
          <w:trHeight w:val="5042" w:hRule="exact"/>
        </w:trPr>
        <w:tc>
          <w:tcPr>
            <w:tcW w:w="1061" w:type="dxa"/>
            <w:tcBorders>
              <w:top w:val="single" w:color="000000" w:sz="6" w:space="0"/>
              <w:left w:val="single" w:color="auto" w:sz="4" w:space="0"/>
              <w:bottom w:val="single" w:color="000000" w:sz="6" w:space="0"/>
              <w:right w:val="single" w:color="000000" w:sz="6" w:space="0"/>
            </w:tcBorders>
            <w:noWrap w:val="0"/>
            <w:vAlign w:val="center"/>
          </w:tcPr>
          <w:p w14:paraId="550EA1B5">
            <w:pPr>
              <w:autoSpaceDE w:val="0"/>
              <w:autoSpaceDN w:val="0"/>
              <w:adjustRightInd w:val="0"/>
              <w:spacing w:line="360" w:lineRule="auto"/>
              <w:jc w:val="center"/>
              <w:rPr>
                <w:rFonts w:hint="eastAsia" w:ascii="宋体" w:hAnsi="宋体" w:cs="宋体"/>
                <w:sz w:val="24"/>
                <w:highlight w:val="none"/>
                <w:lang w:val="zh-CN"/>
              </w:rPr>
            </w:pPr>
            <w:r>
              <w:rPr>
                <w:rFonts w:hint="eastAsia" w:ascii="宋体" w:hAnsi="宋体" w:cs="宋体"/>
                <w:sz w:val="24"/>
                <w:highlight w:val="none"/>
                <w:lang w:val="zh-CN"/>
              </w:rPr>
              <w:t>服务保证</w:t>
            </w:r>
          </w:p>
          <w:p w14:paraId="7E1B1CF4">
            <w:pPr>
              <w:autoSpaceDE w:val="0"/>
              <w:autoSpaceDN w:val="0"/>
              <w:adjustRightInd w:val="0"/>
              <w:spacing w:line="360" w:lineRule="auto"/>
              <w:jc w:val="center"/>
              <w:rPr>
                <w:rFonts w:hint="eastAsia" w:ascii="宋体" w:hAnsi="宋体" w:cs="宋体"/>
                <w:sz w:val="24"/>
                <w:highlight w:val="none"/>
                <w:lang w:val="zh-CN"/>
              </w:rPr>
            </w:pPr>
            <w:r>
              <w:rPr>
                <w:rFonts w:hint="eastAsia" w:ascii="宋体" w:hAnsi="宋体" w:cs="宋体"/>
                <w:sz w:val="24"/>
                <w:highlight w:val="none"/>
                <w:lang w:val="zh-CN"/>
              </w:rPr>
              <w:t>措施</w:t>
            </w:r>
          </w:p>
          <w:p w14:paraId="59F444D3">
            <w:pPr>
              <w:spacing w:line="360" w:lineRule="auto"/>
              <w:ind w:firstLine="240" w:firstLineChars="100"/>
              <w:jc w:val="center"/>
              <w:rPr>
                <w:rFonts w:ascii="宋体" w:hAnsi="宋体" w:cs="宋体"/>
                <w:bCs/>
                <w:sz w:val="24"/>
                <w:highlight w:val="none"/>
              </w:rPr>
            </w:pPr>
          </w:p>
        </w:tc>
        <w:tc>
          <w:tcPr>
            <w:tcW w:w="875" w:type="dxa"/>
            <w:tcBorders>
              <w:top w:val="single" w:color="000000" w:sz="6" w:space="0"/>
              <w:left w:val="single" w:color="000000" w:sz="6" w:space="0"/>
              <w:bottom w:val="single" w:color="000000" w:sz="6" w:space="0"/>
              <w:right w:val="single" w:color="000000" w:sz="6" w:space="0"/>
            </w:tcBorders>
            <w:noWrap w:val="0"/>
            <w:vAlign w:val="center"/>
          </w:tcPr>
          <w:p w14:paraId="153F30E9">
            <w:pPr>
              <w:spacing w:line="360" w:lineRule="auto"/>
              <w:jc w:val="center"/>
              <w:rPr>
                <w:rFonts w:hint="eastAsia" w:ascii="宋体" w:hAnsi="宋体"/>
                <w:sz w:val="24"/>
                <w:highlight w:val="none"/>
              </w:rPr>
            </w:pPr>
            <w:r>
              <w:rPr>
                <w:rFonts w:hint="eastAsia" w:ascii="宋体" w:hAnsi="宋体"/>
                <w:sz w:val="24"/>
                <w:highlight w:val="none"/>
                <w:lang w:val="en-US" w:eastAsia="zh-CN"/>
              </w:rPr>
              <w:t>4</w:t>
            </w:r>
            <w:r>
              <w:rPr>
                <w:rFonts w:hint="eastAsia" w:ascii="宋体" w:hAnsi="宋体"/>
                <w:sz w:val="24"/>
                <w:highlight w:val="none"/>
              </w:rPr>
              <w:t>分</w:t>
            </w:r>
          </w:p>
        </w:tc>
        <w:tc>
          <w:tcPr>
            <w:tcW w:w="7457" w:type="dxa"/>
            <w:tcBorders>
              <w:top w:val="single" w:color="000000" w:sz="6" w:space="0"/>
              <w:left w:val="single" w:color="000000" w:sz="6" w:space="0"/>
              <w:bottom w:val="single" w:color="000000" w:sz="6" w:space="0"/>
              <w:right w:val="single" w:color="000000" w:sz="6" w:space="0"/>
            </w:tcBorders>
            <w:noWrap w:val="0"/>
            <w:vAlign w:val="top"/>
          </w:tcPr>
          <w:p w14:paraId="392168AE">
            <w:pPr>
              <w:autoSpaceDE w:val="0"/>
              <w:autoSpaceDN w:val="0"/>
              <w:adjustRightInd w:val="0"/>
              <w:spacing w:line="360" w:lineRule="auto"/>
              <w:rPr>
                <w:rFonts w:hint="eastAsia" w:ascii="宋体" w:hAnsi="宋体" w:cs="宋体"/>
                <w:sz w:val="24"/>
                <w:highlight w:val="none"/>
              </w:rPr>
            </w:pPr>
            <w:r>
              <w:rPr>
                <w:rFonts w:hint="eastAsia" w:ascii="宋体" w:hAnsi="宋体" w:cs="宋体"/>
                <w:sz w:val="24"/>
                <w:highlight w:val="none"/>
              </w:rPr>
              <w:t>组织机构及服务质量保证措施、保密措施等能做到机构健全，建立完整的工作台账、工作信息收集、反馈等客户质量保证措施，进行综合评价：</w:t>
            </w:r>
          </w:p>
          <w:p w14:paraId="47829FFB">
            <w:p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rPr>
              <w:t>（1）</w:t>
            </w:r>
            <w:r>
              <w:rPr>
                <w:rFonts w:hint="eastAsia" w:ascii="宋体" w:hAnsi="宋体" w:cs="宋体"/>
                <w:sz w:val="24"/>
                <w:highlight w:val="none"/>
                <w:lang w:val="zh-CN"/>
              </w:rPr>
              <w:t>服务保障措施切实可行，描述详实的，</w:t>
            </w:r>
            <w:r>
              <w:rPr>
                <w:rFonts w:hint="eastAsia" w:ascii="宋体" w:hAnsi="宋体" w:cs="宋体"/>
                <w:sz w:val="24"/>
                <w:highlight w:val="none"/>
              </w:rPr>
              <w:t>保密措施严密，工作台账、工作信息收集、反馈及时等，</w:t>
            </w:r>
            <w:r>
              <w:rPr>
                <w:rFonts w:hint="eastAsia" w:ascii="宋体" w:hAnsi="宋体" w:cs="宋体"/>
                <w:sz w:val="24"/>
                <w:highlight w:val="none"/>
                <w:lang w:val="zh-CN"/>
              </w:rPr>
              <w:t>得</w:t>
            </w:r>
            <w:r>
              <w:rPr>
                <w:rFonts w:hint="eastAsia" w:ascii="宋体" w:hAnsi="宋体" w:cs="宋体"/>
                <w:sz w:val="24"/>
                <w:highlight w:val="none"/>
                <w:lang w:val="en-US" w:eastAsia="zh-CN"/>
              </w:rPr>
              <w:t>4</w:t>
            </w:r>
            <w:r>
              <w:rPr>
                <w:rFonts w:hint="eastAsia" w:ascii="宋体" w:hAnsi="宋体" w:cs="宋体"/>
                <w:sz w:val="24"/>
                <w:highlight w:val="none"/>
                <w:lang w:val="zh-CN"/>
              </w:rPr>
              <w:t>分；</w:t>
            </w:r>
          </w:p>
          <w:p w14:paraId="76AD26CD">
            <w:p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rPr>
              <w:t>（</w:t>
            </w:r>
            <w:r>
              <w:rPr>
                <w:rFonts w:hint="eastAsia" w:ascii="宋体" w:hAnsi="宋体" w:cs="宋体"/>
                <w:sz w:val="24"/>
                <w:highlight w:val="none"/>
              </w:rPr>
              <w:t>2</w:t>
            </w:r>
            <w:r>
              <w:rPr>
                <w:rFonts w:hint="eastAsia" w:ascii="宋体" w:hAnsi="宋体" w:cs="宋体"/>
                <w:sz w:val="24"/>
                <w:highlight w:val="none"/>
                <w:lang w:val="zh-CN"/>
              </w:rPr>
              <w:t>）服务保障措施有可行性且描述</w:t>
            </w:r>
            <w:r>
              <w:rPr>
                <w:rFonts w:hint="eastAsia" w:ascii="宋体" w:hAnsi="宋体" w:cs="宋体"/>
                <w:sz w:val="24"/>
                <w:highlight w:val="none"/>
                <w:lang w:val="en-US" w:eastAsia="zh-CN"/>
              </w:rPr>
              <w:t>清晰</w:t>
            </w:r>
            <w:r>
              <w:rPr>
                <w:rFonts w:hint="eastAsia" w:ascii="宋体" w:hAnsi="宋体" w:cs="宋体"/>
                <w:sz w:val="24"/>
                <w:highlight w:val="none"/>
                <w:lang w:val="zh-CN"/>
              </w:rPr>
              <w:t>的，</w:t>
            </w:r>
            <w:r>
              <w:rPr>
                <w:rFonts w:hint="eastAsia" w:ascii="宋体" w:hAnsi="宋体" w:cs="宋体"/>
                <w:sz w:val="24"/>
                <w:highlight w:val="none"/>
              </w:rPr>
              <w:t>保密措施合理，工作台账、工作信息收集、反馈</w:t>
            </w:r>
            <w:r>
              <w:rPr>
                <w:rFonts w:hint="eastAsia" w:ascii="宋体" w:hAnsi="宋体" w:cs="宋体"/>
                <w:sz w:val="24"/>
                <w:highlight w:val="none"/>
                <w:lang w:val="en-US" w:eastAsia="zh-CN"/>
              </w:rPr>
              <w:t>较</w:t>
            </w:r>
            <w:r>
              <w:rPr>
                <w:rFonts w:hint="eastAsia" w:ascii="宋体" w:hAnsi="宋体" w:cs="宋体"/>
                <w:sz w:val="24"/>
                <w:highlight w:val="none"/>
              </w:rPr>
              <w:t>及时等，</w:t>
            </w:r>
            <w:r>
              <w:rPr>
                <w:rFonts w:hint="eastAsia" w:ascii="宋体" w:hAnsi="宋体" w:cs="宋体"/>
                <w:sz w:val="24"/>
                <w:highlight w:val="none"/>
                <w:lang w:val="zh-CN"/>
              </w:rPr>
              <w:t>得</w:t>
            </w:r>
            <w:r>
              <w:rPr>
                <w:rFonts w:hint="eastAsia" w:ascii="宋体" w:hAnsi="宋体" w:cs="宋体"/>
                <w:sz w:val="24"/>
                <w:highlight w:val="none"/>
                <w:lang w:val="en-US" w:eastAsia="zh-CN"/>
              </w:rPr>
              <w:t>3</w:t>
            </w:r>
            <w:r>
              <w:rPr>
                <w:rFonts w:hint="eastAsia" w:ascii="宋体" w:hAnsi="宋体" w:cs="宋体"/>
                <w:sz w:val="24"/>
                <w:highlight w:val="none"/>
                <w:lang w:val="zh-CN"/>
              </w:rPr>
              <w:t>分；</w:t>
            </w:r>
          </w:p>
          <w:p w14:paraId="72E1C5A9">
            <w:pPr>
              <w:autoSpaceDE w:val="0"/>
              <w:autoSpaceDN w:val="0"/>
              <w:adjustRightInd w:val="0"/>
              <w:spacing w:line="360" w:lineRule="auto"/>
              <w:rPr>
                <w:rFonts w:hint="default" w:ascii="宋体" w:hAnsi="宋体" w:eastAsia="宋体" w:cs="宋体"/>
                <w:sz w:val="24"/>
                <w:highlight w:val="none"/>
                <w:lang w:val="en-US" w:eastAsia="zh-CN"/>
              </w:rPr>
            </w:pPr>
            <w:r>
              <w:rPr>
                <w:rFonts w:hint="eastAsia" w:ascii="宋体" w:hAnsi="宋体" w:cs="宋体"/>
                <w:sz w:val="24"/>
                <w:highlight w:val="none"/>
                <w:lang w:val="zh-CN"/>
              </w:rPr>
              <w:t>（</w:t>
            </w:r>
            <w:r>
              <w:rPr>
                <w:rFonts w:hint="eastAsia" w:ascii="宋体" w:hAnsi="宋体" w:cs="宋体"/>
                <w:sz w:val="24"/>
                <w:highlight w:val="none"/>
              </w:rPr>
              <w:t>3</w:t>
            </w:r>
            <w:r>
              <w:rPr>
                <w:rFonts w:hint="eastAsia" w:ascii="宋体" w:hAnsi="宋体" w:cs="宋体"/>
                <w:sz w:val="24"/>
                <w:highlight w:val="none"/>
                <w:lang w:val="zh-CN"/>
              </w:rPr>
              <w:t>）</w:t>
            </w:r>
            <w:r>
              <w:rPr>
                <w:rFonts w:hint="eastAsia" w:ascii="宋体" w:hAnsi="宋体" w:cs="宋体"/>
                <w:sz w:val="24"/>
                <w:highlight w:val="none"/>
                <w:lang w:val="en-US" w:eastAsia="zh-CN"/>
              </w:rPr>
              <w:t>服务保障措施可行且描述清楚，保密措施可行，工作台账、工作信息收集、反馈情况基本及时、合理的，得2分；</w:t>
            </w:r>
          </w:p>
          <w:p w14:paraId="3D6A5D40">
            <w:p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rPr>
              <w:t>（</w:t>
            </w:r>
            <w:r>
              <w:rPr>
                <w:rFonts w:hint="eastAsia" w:ascii="宋体" w:hAnsi="宋体" w:cs="宋体"/>
                <w:sz w:val="24"/>
                <w:highlight w:val="none"/>
                <w:lang w:val="en-US" w:eastAsia="zh-CN"/>
              </w:rPr>
              <w:t>4</w:t>
            </w:r>
            <w:r>
              <w:rPr>
                <w:rFonts w:hint="eastAsia" w:ascii="宋体" w:hAnsi="宋体" w:cs="宋体"/>
                <w:sz w:val="24"/>
                <w:highlight w:val="none"/>
                <w:lang w:val="zh-CN"/>
              </w:rPr>
              <w:t>）服务保障措施描述简略的，</w:t>
            </w:r>
            <w:r>
              <w:rPr>
                <w:rFonts w:hint="eastAsia" w:ascii="宋体" w:hAnsi="宋体" w:cs="宋体"/>
                <w:sz w:val="24"/>
                <w:highlight w:val="none"/>
              </w:rPr>
              <w:t>保密措施基本满足，工作台账、工作信息收集、反馈一般等，</w:t>
            </w:r>
            <w:r>
              <w:rPr>
                <w:rFonts w:hint="eastAsia" w:ascii="宋体" w:hAnsi="宋体" w:cs="宋体"/>
                <w:sz w:val="24"/>
                <w:highlight w:val="none"/>
                <w:lang w:val="zh-CN"/>
              </w:rPr>
              <w:t>得</w:t>
            </w:r>
            <w:r>
              <w:rPr>
                <w:rFonts w:hint="eastAsia" w:ascii="宋体" w:hAnsi="宋体" w:cs="宋体"/>
                <w:sz w:val="24"/>
                <w:highlight w:val="none"/>
                <w:lang w:val="en-US" w:eastAsia="zh-CN"/>
              </w:rPr>
              <w:t>1</w:t>
            </w:r>
            <w:r>
              <w:rPr>
                <w:rFonts w:hint="eastAsia" w:ascii="宋体" w:hAnsi="宋体" w:cs="宋体"/>
                <w:sz w:val="24"/>
                <w:highlight w:val="none"/>
                <w:lang w:val="zh-CN"/>
              </w:rPr>
              <w:t>分；</w:t>
            </w:r>
          </w:p>
          <w:p w14:paraId="59CA88CA">
            <w:pPr>
              <w:autoSpaceDE w:val="0"/>
              <w:autoSpaceDN w:val="0"/>
              <w:adjustRightInd w:val="0"/>
              <w:spacing w:line="360" w:lineRule="auto"/>
              <w:rPr>
                <w:rFonts w:ascii="宋体" w:hAnsi="宋体" w:cs="宋体"/>
                <w:sz w:val="24"/>
                <w:highlight w:val="none"/>
              </w:rPr>
            </w:pPr>
            <w:r>
              <w:rPr>
                <w:rFonts w:hint="eastAsia" w:ascii="宋体" w:hAnsi="宋体" w:cs="宋体"/>
                <w:sz w:val="24"/>
                <w:highlight w:val="none"/>
              </w:rPr>
              <w:t>未提供内容不得分。</w:t>
            </w:r>
          </w:p>
        </w:tc>
      </w:tr>
      <w:tr w14:paraId="7FE5FE16">
        <w:tblPrEx>
          <w:tblCellMar>
            <w:top w:w="0" w:type="dxa"/>
            <w:left w:w="0" w:type="dxa"/>
            <w:bottom w:w="0" w:type="dxa"/>
            <w:right w:w="0" w:type="dxa"/>
          </w:tblCellMar>
        </w:tblPrEx>
        <w:trPr>
          <w:trHeight w:val="4438" w:hRule="exact"/>
        </w:trPr>
        <w:tc>
          <w:tcPr>
            <w:tcW w:w="1061" w:type="dxa"/>
            <w:tcBorders>
              <w:top w:val="single" w:color="000000" w:sz="6" w:space="0"/>
              <w:left w:val="single" w:color="auto" w:sz="4" w:space="0"/>
              <w:bottom w:val="single" w:color="000000" w:sz="6" w:space="0"/>
              <w:right w:val="single" w:color="000000" w:sz="6" w:space="0"/>
            </w:tcBorders>
            <w:noWrap w:val="0"/>
            <w:vAlign w:val="center"/>
          </w:tcPr>
          <w:p w14:paraId="4B6E8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bCs/>
                <w:sz w:val="24"/>
                <w:highlight w:val="none"/>
              </w:rPr>
            </w:pPr>
            <w:r>
              <w:rPr>
                <w:rFonts w:hint="eastAsia" w:ascii="宋体" w:hAnsi="宋体" w:cs="宋体"/>
                <w:color w:val="auto"/>
                <w:kern w:val="0"/>
                <w:sz w:val="24"/>
                <w:highlight w:val="none"/>
                <w:lang w:val="en-US" w:eastAsia="zh-CN"/>
              </w:rPr>
              <w:t>拟投入本项目的设备</w:t>
            </w:r>
            <w:r>
              <w:rPr>
                <w:rFonts w:hint="eastAsia" w:ascii="宋体" w:hAnsi="宋体" w:cs="宋体"/>
                <w:color w:val="auto"/>
                <w:kern w:val="0"/>
                <w:sz w:val="24"/>
                <w:highlight w:val="none"/>
              </w:rPr>
              <w:t>配备</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14:paraId="1BDAE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sz w:val="24"/>
                <w:highlight w:val="none"/>
              </w:rPr>
            </w:pPr>
            <w:r>
              <w:rPr>
                <w:rFonts w:hint="eastAsia" w:ascii="宋体" w:hAnsi="宋体" w:cs="宋体"/>
                <w:color w:val="auto"/>
                <w:kern w:val="0"/>
                <w:sz w:val="24"/>
                <w:highlight w:val="none"/>
                <w:lang w:val="en-US" w:eastAsia="zh-CN"/>
              </w:rPr>
              <w:t>4分</w:t>
            </w:r>
          </w:p>
        </w:tc>
        <w:tc>
          <w:tcPr>
            <w:tcW w:w="7457" w:type="dxa"/>
            <w:tcBorders>
              <w:top w:val="single" w:color="000000" w:sz="6" w:space="0"/>
              <w:left w:val="single" w:color="000000" w:sz="6" w:space="0"/>
              <w:bottom w:val="single" w:color="000000" w:sz="6" w:space="0"/>
              <w:right w:val="single" w:color="000000" w:sz="6" w:space="0"/>
            </w:tcBorders>
            <w:noWrap w:val="0"/>
            <w:vAlign w:val="center"/>
          </w:tcPr>
          <w:p w14:paraId="07BAB30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根据供应商针对本项目拟投入的设备配备进行评审</w:t>
            </w:r>
            <w:r>
              <w:rPr>
                <w:rFonts w:hint="eastAsia" w:ascii="宋体" w:hAnsi="宋体" w:cs="宋体"/>
                <w:color w:val="auto"/>
                <w:kern w:val="0"/>
                <w:sz w:val="24"/>
                <w:highlight w:val="none"/>
              </w:rPr>
              <w:t>。</w:t>
            </w:r>
          </w:p>
          <w:p w14:paraId="76ADD56E">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投入装备、器具、设备等种类齐全，实用性和专业性强，能够极大提高工作效率和质量；得</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分；</w:t>
            </w:r>
          </w:p>
          <w:p w14:paraId="138D5AFC">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投入装备、器具、设备等种类较齐全，实用性和专业性较强，能够满足</w:t>
            </w:r>
            <w:r>
              <w:rPr>
                <w:rFonts w:hint="eastAsia" w:ascii="宋体" w:hAnsi="宋体" w:cs="宋体"/>
                <w:color w:val="auto"/>
                <w:kern w:val="0"/>
                <w:sz w:val="24"/>
                <w:highlight w:val="none"/>
                <w:lang w:val="en-US" w:eastAsia="zh-CN"/>
              </w:rPr>
              <w:t>采购需求</w:t>
            </w:r>
            <w:r>
              <w:rPr>
                <w:rFonts w:hint="eastAsia" w:ascii="宋体" w:hAnsi="宋体" w:cs="宋体"/>
                <w:color w:val="auto"/>
                <w:kern w:val="0"/>
                <w:sz w:val="24"/>
                <w:highlight w:val="none"/>
              </w:rPr>
              <w:t>，一定程度</w:t>
            </w:r>
            <w:r>
              <w:rPr>
                <w:rFonts w:hint="eastAsia" w:ascii="宋体" w:hAnsi="宋体" w:cs="宋体"/>
                <w:color w:val="auto"/>
                <w:kern w:val="0"/>
                <w:sz w:val="24"/>
                <w:highlight w:val="none"/>
                <w:lang w:val="en-US" w:eastAsia="zh-CN"/>
              </w:rPr>
              <w:t>能</w:t>
            </w:r>
            <w:r>
              <w:rPr>
                <w:rFonts w:hint="eastAsia" w:ascii="宋体" w:hAnsi="宋体" w:cs="宋体"/>
                <w:color w:val="auto"/>
                <w:kern w:val="0"/>
                <w:sz w:val="24"/>
                <w:highlight w:val="none"/>
              </w:rPr>
              <w:t>提高工作效率和质量；得</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分；</w:t>
            </w:r>
          </w:p>
          <w:p w14:paraId="78750E0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投入装备、器具、设备等种类不齐全，实用性和专业性不强，基本满足工作需要，对工作效率和质量无促进作用；得</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分；</w:t>
            </w:r>
          </w:p>
          <w:p w14:paraId="7C2ECDAF">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投入装备、器具、设备不能满足工作需要的；得</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分；</w:t>
            </w:r>
          </w:p>
          <w:p w14:paraId="74CC9B51">
            <w:pPr>
              <w:pStyle w:val="30"/>
              <w:rPr>
                <w:rFonts w:hint="eastAsia" w:ascii="宋体" w:hAnsi="宋体" w:cs="宋体"/>
                <w:sz w:val="24"/>
                <w:highlight w:val="none"/>
              </w:rPr>
            </w:pPr>
            <w:r>
              <w:rPr>
                <w:rFonts w:hint="eastAsia" w:ascii="宋体" w:hAnsi="宋体" w:cs="宋体"/>
                <w:sz w:val="24"/>
                <w:highlight w:val="none"/>
              </w:rPr>
              <w:t>未提供内容不得分。</w:t>
            </w:r>
          </w:p>
        </w:tc>
      </w:tr>
      <w:tr w14:paraId="611337DE">
        <w:tblPrEx>
          <w:tblCellMar>
            <w:top w:w="0" w:type="dxa"/>
            <w:left w:w="0" w:type="dxa"/>
            <w:bottom w:w="0" w:type="dxa"/>
            <w:right w:w="0" w:type="dxa"/>
          </w:tblCellMar>
        </w:tblPrEx>
        <w:trPr>
          <w:trHeight w:val="3687" w:hRule="exact"/>
        </w:trPr>
        <w:tc>
          <w:tcPr>
            <w:tcW w:w="1061" w:type="dxa"/>
            <w:tcBorders>
              <w:top w:val="single" w:color="000000" w:sz="6" w:space="0"/>
              <w:left w:val="single" w:color="auto" w:sz="4" w:space="0"/>
              <w:bottom w:val="single" w:color="000000" w:sz="6" w:space="0"/>
              <w:right w:val="single" w:color="000000" w:sz="6" w:space="0"/>
            </w:tcBorders>
            <w:noWrap w:val="0"/>
            <w:vAlign w:val="center"/>
          </w:tcPr>
          <w:p w14:paraId="5CF18381">
            <w:pPr>
              <w:spacing w:line="360" w:lineRule="auto"/>
              <w:jc w:val="center"/>
              <w:rPr>
                <w:rFonts w:hint="eastAsia" w:ascii="宋体" w:hAnsi="宋体" w:cs="宋体"/>
                <w:bCs/>
                <w:sz w:val="24"/>
                <w:highlight w:val="none"/>
              </w:rPr>
            </w:pPr>
            <w:r>
              <w:rPr>
                <w:rFonts w:hint="eastAsia" w:ascii="宋体" w:hAnsi="宋体" w:cs="宋体"/>
                <w:bCs/>
                <w:sz w:val="24"/>
                <w:highlight w:val="none"/>
              </w:rPr>
              <w:t>项目重点、难点分析及处理方案</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14:paraId="56571D6D">
            <w:pPr>
              <w:spacing w:line="360" w:lineRule="auto"/>
              <w:jc w:val="center"/>
              <w:rPr>
                <w:rFonts w:hint="eastAsia" w:ascii="宋体" w:hAnsi="宋体"/>
                <w:sz w:val="24"/>
                <w:highlight w:val="none"/>
              </w:rPr>
            </w:pPr>
            <w:r>
              <w:rPr>
                <w:rFonts w:hint="eastAsia" w:ascii="宋体" w:hAnsi="宋体"/>
                <w:sz w:val="24"/>
                <w:highlight w:val="none"/>
                <w:lang w:val="en-US" w:eastAsia="zh-CN"/>
              </w:rPr>
              <w:t>4</w:t>
            </w:r>
            <w:r>
              <w:rPr>
                <w:rFonts w:hint="eastAsia" w:ascii="宋体" w:hAnsi="宋体"/>
                <w:sz w:val="24"/>
                <w:highlight w:val="none"/>
              </w:rPr>
              <w:t>分</w:t>
            </w:r>
          </w:p>
        </w:tc>
        <w:tc>
          <w:tcPr>
            <w:tcW w:w="7457" w:type="dxa"/>
            <w:tcBorders>
              <w:top w:val="single" w:color="000000" w:sz="6" w:space="0"/>
              <w:left w:val="single" w:color="000000" w:sz="6" w:space="0"/>
              <w:bottom w:val="single" w:color="000000" w:sz="6" w:space="0"/>
              <w:right w:val="single" w:color="000000" w:sz="6" w:space="0"/>
            </w:tcBorders>
            <w:noWrap w:val="0"/>
            <w:vAlign w:val="top"/>
          </w:tcPr>
          <w:p w14:paraId="25C4EEB9">
            <w:pPr>
              <w:numPr>
                <w:ilvl w:val="0"/>
                <w:numId w:val="9"/>
              </w:numPr>
              <w:spacing w:line="360" w:lineRule="auto"/>
              <w:rPr>
                <w:rFonts w:hint="eastAsia" w:ascii="宋体" w:hAnsi="宋体" w:cs="宋体"/>
                <w:sz w:val="24"/>
                <w:highlight w:val="none"/>
                <w:lang w:eastAsia="zh-CN"/>
              </w:rPr>
            </w:pPr>
            <w:r>
              <w:rPr>
                <w:rFonts w:hint="eastAsia" w:ascii="宋体" w:hAnsi="宋体" w:cs="宋体"/>
                <w:sz w:val="24"/>
                <w:highlight w:val="none"/>
                <w:lang w:val="en-US" w:eastAsia="zh-CN"/>
              </w:rPr>
              <w:t>针对本项目</w:t>
            </w:r>
            <w:r>
              <w:rPr>
                <w:rFonts w:hint="eastAsia" w:ascii="宋体" w:hAnsi="宋体" w:cs="宋体"/>
                <w:sz w:val="24"/>
                <w:highlight w:val="none"/>
              </w:rPr>
              <w:t>的重点、难点分析准确，处理方案准确无误、有针对性、安排得当、满足服务要求得</w:t>
            </w:r>
            <w:r>
              <w:rPr>
                <w:rFonts w:hint="eastAsia" w:ascii="宋体" w:hAnsi="宋体" w:cs="宋体"/>
                <w:sz w:val="24"/>
                <w:highlight w:val="none"/>
                <w:lang w:val="en-US" w:eastAsia="zh-CN"/>
              </w:rPr>
              <w:t>4</w:t>
            </w:r>
            <w:r>
              <w:rPr>
                <w:rFonts w:hint="eastAsia" w:ascii="宋体" w:hAnsi="宋体" w:cs="宋体"/>
                <w:sz w:val="24"/>
                <w:highlight w:val="none"/>
              </w:rPr>
              <w:t>分</w:t>
            </w:r>
            <w:r>
              <w:rPr>
                <w:rFonts w:hint="eastAsia" w:ascii="宋体" w:hAnsi="宋体" w:cs="宋体"/>
                <w:sz w:val="24"/>
                <w:highlight w:val="none"/>
                <w:lang w:eastAsia="zh-CN"/>
              </w:rPr>
              <w:t>；</w:t>
            </w:r>
          </w:p>
          <w:p w14:paraId="36A172BB">
            <w:pPr>
              <w:numPr>
                <w:ilvl w:val="0"/>
                <w:numId w:val="9"/>
              </w:numPr>
              <w:spacing w:line="360" w:lineRule="auto"/>
              <w:rPr>
                <w:rFonts w:hint="eastAsia" w:ascii="宋体" w:hAnsi="宋体" w:cs="宋体"/>
                <w:sz w:val="24"/>
                <w:highlight w:val="none"/>
              </w:rPr>
            </w:pPr>
            <w:r>
              <w:rPr>
                <w:rFonts w:hint="eastAsia" w:ascii="宋体" w:hAnsi="宋体" w:cs="宋体"/>
                <w:sz w:val="24"/>
                <w:highlight w:val="none"/>
                <w:lang w:val="en-US" w:eastAsia="zh-CN"/>
              </w:rPr>
              <w:t>重点、难点方案分析清晰，处理方案较科学、合理，具有较强的针对性和可操作性的，得3分；</w:t>
            </w:r>
          </w:p>
          <w:p w14:paraId="695DB5BC">
            <w:pPr>
              <w:numPr>
                <w:ilvl w:val="0"/>
                <w:numId w:val="9"/>
              </w:numPr>
              <w:spacing w:line="360" w:lineRule="auto"/>
              <w:rPr>
                <w:rFonts w:hint="eastAsia" w:ascii="宋体" w:hAnsi="宋体" w:cs="宋体"/>
                <w:sz w:val="24"/>
                <w:highlight w:val="none"/>
              </w:rPr>
            </w:pPr>
            <w:r>
              <w:rPr>
                <w:rFonts w:hint="eastAsia" w:ascii="宋体" w:hAnsi="宋体" w:cs="宋体"/>
                <w:sz w:val="24"/>
                <w:highlight w:val="none"/>
                <w:lang w:val="en-US" w:eastAsia="zh-CN"/>
              </w:rPr>
              <w:t>重点、难点</w:t>
            </w:r>
            <w:r>
              <w:rPr>
                <w:rFonts w:hint="eastAsia" w:ascii="宋体" w:hAnsi="宋体" w:cs="宋体"/>
                <w:sz w:val="24"/>
                <w:highlight w:val="none"/>
              </w:rPr>
              <w:t>方案完善可行，针对性不强，安排基本得当，基本满足服务要求的得</w:t>
            </w:r>
            <w:r>
              <w:rPr>
                <w:rFonts w:hint="eastAsia" w:ascii="宋体" w:hAnsi="宋体" w:cs="宋体"/>
                <w:sz w:val="24"/>
                <w:highlight w:val="none"/>
                <w:lang w:val="en-US" w:eastAsia="zh-CN"/>
              </w:rPr>
              <w:t>2</w:t>
            </w:r>
            <w:r>
              <w:rPr>
                <w:rFonts w:hint="eastAsia" w:ascii="宋体" w:hAnsi="宋体" w:cs="宋体"/>
                <w:sz w:val="24"/>
                <w:highlight w:val="none"/>
              </w:rPr>
              <w:t>分</w:t>
            </w:r>
            <w:r>
              <w:rPr>
                <w:rFonts w:hint="eastAsia" w:ascii="宋体" w:hAnsi="宋体" w:cs="宋体"/>
                <w:sz w:val="24"/>
                <w:highlight w:val="none"/>
                <w:lang w:eastAsia="zh-CN"/>
              </w:rPr>
              <w:t>；</w:t>
            </w:r>
          </w:p>
          <w:p w14:paraId="431C9DBB">
            <w:pPr>
              <w:numPr>
                <w:ilvl w:val="0"/>
                <w:numId w:val="9"/>
              </w:numPr>
              <w:spacing w:line="360" w:lineRule="auto"/>
              <w:rPr>
                <w:rFonts w:hint="eastAsia" w:ascii="宋体" w:hAnsi="宋体" w:cs="宋体"/>
                <w:sz w:val="24"/>
                <w:highlight w:val="none"/>
              </w:rPr>
            </w:pPr>
            <w:r>
              <w:rPr>
                <w:rFonts w:hint="eastAsia" w:ascii="宋体" w:hAnsi="宋体" w:cs="宋体"/>
                <w:sz w:val="24"/>
                <w:highlight w:val="none"/>
              </w:rPr>
              <w:t>方案不完善，可行性不强，无针对性，安排不当得</w:t>
            </w:r>
            <w:r>
              <w:rPr>
                <w:rFonts w:hint="eastAsia" w:ascii="宋体" w:hAnsi="宋体" w:cs="宋体"/>
                <w:sz w:val="24"/>
                <w:highlight w:val="none"/>
                <w:lang w:val="en-US" w:eastAsia="zh-CN"/>
              </w:rPr>
              <w:t>1</w:t>
            </w:r>
            <w:r>
              <w:rPr>
                <w:rFonts w:hint="eastAsia" w:ascii="宋体" w:hAnsi="宋体" w:cs="宋体"/>
                <w:sz w:val="24"/>
                <w:highlight w:val="none"/>
              </w:rPr>
              <w:t>分</w:t>
            </w:r>
            <w:r>
              <w:rPr>
                <w:rFonts w:hint="eastAsia" w:ascii="宋体" w:hAnsi="宋体" w:cs="宋体"/>
                <w:sz w:val="24"/>
                <w:highlight w:val="none"/>
                <w:lang w:eastAsia="zh-CN"/>
              </w:rPr>
              <w:t>；</w:t>
            </w:r>
          </w:p>
          <w:p w14:paraId="70D10CE1">
            <w:pPr>
              <w:spacing w:line="360" w:lineRule="auto"/>
              <w:rPr>
                <w:rFonts w:hint="eastAsia" w:ascii="宋体" w:hAnsi="宋体" w:cs="宋体"/>
                <w:sz w:val="24"/>
                <w:highlight w:val="none"/>
              </w:rPr>
            </w:pPr>
            <w:r>
              <w:rPr>
                <w:rFonts w:hint="eastAsia" w:ascii="宋体" w:hAnsi="宋体" w:cs="宋体"/>
                <w:sz w:val="24"/>
                <w:highlight w:val="none"/>
              </w:rPr>
              <w:t>未提供内容不得分。</w:t>
            </w:r>
          </w:p>
        </w:tc>
      </w:tr>
      <w:tr w14:paraId="33CDA7A6">
        <w:tblPrEx>
          <w:tblCellMar>
            <w:top w:w="0" w:type="dxa"/>
            <w:left w:w="0" w:type="dxa"/>
            <w:bottom w:w="0" w:type="dxa"/>
            <w:right w:w="0" w:type="dxa"/>
          </w:tblCellMar>
        </w:tblPrEx>
        <w:trPr>
          <w:trHeight w:val="5209" w:hRule="exact"/>
        </w:trPr>
        <w:tc>
          <w:tcPr>
            <w:tcW w:w="1061" w:type="dxa"/>
            <w:tcBorders>
              <w:top w:val="single" w:color="000000" w:sz="6" w:space="0"/>
              <w:left w:val="single" w:color="auto" w:sz="4" w:space="0"/>
              <w:bottom w:val="single" w:color="000000" w:sz="6" w:space="0"/>
              <w:right w:val="single" w:color="000000" w:sz="6" w:space="0"/>
            </w:tcBorders>
            <w:noWrap w:val="0"/>
            <w:vAlign w:val="center"/>
          </w:tcPr>
          <w:p w14:paraId="304CF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bCs/>
                <w:highlight w:val="none"/>
              </w:rPr>
            </w:pPr>
            <w:r>
              <w:rPr>
                <w:rFonts w:hint="eastAsia" w:ascii="宋体" w:hAnsi="宋体" w:cs="宋体"/>
                <w:color w:val="auto"/>
                <w:sz w:val="24"/>
                <w:highlight w:val="none"/>
              </w:rPr>
              <w:t>突发事件应急预案</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14:paraId="5AB8A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szCs w:val="21"/>
                <w:highlight w:val="none"/>
              </w:rPr>
            </w:pPr>
            <w:r>
              <w:rPr>
                <w:rFonts w:hint="eastAsia" w:ascii="宋体" w:hAnsi="宋体" w:cs="宋体"/>
                <w:color w:val="auto"/>
                <w:sz w:val="24"/>
                <w:highlight w:val="none"/>
                <w:lang w:val="en-US" w:eastAsia="zh-CN"/>
              </w:rPr>
              <w:t>4分</w:t>
            </w:r>
          </w:p>
        </w:tc>
        <w:tc>
          <w:tcPr>
            <w:tcW w:w="7457" w:type="dxa"/>
            <w:tcBorders>
              <w:top w:val="single" w:color="000000" w:sz="6" w:space="0"/>
              <w:left w:val="single" w:color="000000" w:sz="6" w:space="0"/>
              <w:bottom w:val="single" w:color="000000" w:sz="6" w:space="0"/>
              <w:right w:val="single" w:color="000000" w:sz="6" w:space="0"/>
            </w:tcBorders>
            <w:noWrap w:val="0"/>
            <w:vAlign w:val="center"/>
          </w:tcPr>
          <w:p w14:paraId="1A1EE67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服务过</w:t>
            </w:r>
            <w:r>
              <w:rPr>
                <w:rFonts w:hint="eastAsia" w:ascii="宋体" w:hAnsi="宋体" w:eastAsia="宋体" w:cs="宋体"/>
                <w:color w:val="auto"/>
                <w:sz w:val="24"/>
                <w:highlight w:val="none"/>
                <w:lang w:val="en-US" w:eastAsia="zh-CN"/>
              </w:rPr>
              <w:t>程中发生得</w:t>
            </w:r>
            <w:r>
              <w:rPr>
                <w:rFonts w:hint="eastAsia" w:ascii="宋体" w:hAnsi="宋体" w:eastAsia="宋体" w:cs="宋体"/>
                <w:color w:val="auto"/>
                <w:sz w:val="24"/>
                <w:highlight w:val="none"/>
              </w:rPr>
              <w:t>突发状况时需具有相应且可行的处置方案（如电梯困人、突发停电、意外伤亡、火灾、非法闯入等）。</w:t>
            </w:r>
          </w:p>
          <w:p w14:paraId="48647C71">
            <w:pPr>
              <w:keepNext w:val="0"/>
              <w:keepLines w:val="0"/>
              <w:pageBreakBefore w:val="0"/>
              <w:widowControl/>
              <w:numPr>
                <w:ilvl w:val="0"/>
                <w:numId w:val="1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服务过程中突发事件处理机制、预案、协调服务方案详实，针对性强，服务内容全面，服务标准高，服务安排合理，服务规范细致，操作规程详尽，保障措施完备，得</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rPr>
              <w:t>分；</w:t>
            </w:r>
          </w:p>
          <w:p w14:paraId="582522FA">
            <w:pPr>
              <w:keepNext w:val="0"/>
              <w:keepLines w:val="0"/>
              <w:pageBreakBefore w:val="0"/>
              <w:widowControl/>
              <w:numPr>
                <w:ilvl w:val="0"/>
                <w:numId w:val="1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方案较为详实，服务内容基本全面，服务标准较高，服务安排较合理，操作规程详细，保障措施完善，得</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lang w:val="en-US" w:eastAsia="zh-CN"/>
              </w:rPr>
              <w:t>分；</w:t>
            </w:r>
          </w:p>
          <w:p w14:paraId="1819C1FF">
            <w:pPr>
              <w:keepNext w:val="0"/>
              <w:keepLines w:val="0"/>
              <w:pageBreakBefore w:val="0"/>
              <w:widowControl/>
              <w:numPr>
                <w:ilvl w:val="0"/>
                <w:numId w:val="1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方案</w:t>
            </w:r>
            <w:r>
              <w:rPr>
                <w:rFonts w:hint="eastAsia" w:ascii="宋体" w:hAnsi="宋体" w:eastAsia="宋体" w:cs="宋体"/>
                <w:color w:val="auto"/>
                <w:sz w:val="24"/>
                <w:highlight w:val="none"/>
                <w:lang w:val="en-US" w:eastAsia="zh-CN"/>
              </w:rPr>
              <w:t>基本</w:t>
            </w:r>
            <w:r>
              <w:rPr>
                <w:rFonts w:hint="eastAsia" w:ascii="宋体" w:hAnsi="宋体" w:eastAsia="宋体" w:cs="宋体"/>
                <w:color w:val="auto"/>
                <w:sz w:val="24"/>
                <w:highlight w:val="none"/>
              </w:rPr>
              <w:t>详实，服务内容基本齐全，服务安排相对合理，有服务规范、操作规程和保障措施，但不具有针对性，得</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分；</w:t>
            </w:r>
          </w:p>
          <w:p w14:paraId="02D5E188">
            <w:pPr>
              <w:keepNext w:val="0"/>
              <w:keepLines w:val="0"/>
              <w:pageBreakBefore w:val="0"/>
              <w:widowControl/>
              <w:numPr>
                <w:ilvl w:val="0"/>
                <w:numId w:val="1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方案粗略，内容不全，得1分；</w:t>
            </w:r>
          </w:p>
          <w:p w14:paraId="347846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ascii="宋体" w:hAnsi="宋体"/>
                <w:szCs w:val="21"/>
                <w:highlight w:val="none"/>
              </w:rPr>
            </w:pPr>
            <w:r>
              <w:rPr>
                <w:rFonts w:hint="eastAsia" w:ascii="宋体" w:hAnsi="宋体" w:cs="宋体"/>
                <w:sz w:val="24"/>
                <w:highlight w:val="none"/>
              </w:rPr>
              <w:t>未提供内容不得分。</w:t>
            </w:r>
          </w:p>
        </w:tc>
      </w:tr>
      <w:tr w14:paraId="4D482C0D">
        <w:tblPrEx>
          <w:tblCellMar>
            <w:top w:w="0" w:type="dxa"/>
            <w:left w:w="0" w:type="dxa"/>
            <w:bottom w:w="0" w:type="dxa"/>
            <w:right w:w="0" w:type="dxa"/>
          </w:tblCellMar>
        </w:tblPrEx>
        <w:trPr>
          <w:trHeight w:val="3920" w:hRule="exact"/>
        </w:trPr>
        <w:tc>
          <w:tcPr>
            <w:tcW w:w="1061" w:type="dxa"/>
            <w:tcBorders>
              <w:top w:val="single" w:color="000000" w:sz="6" w:space="0"/>
              <w:left w:val="single" w:color="auto" w:sz="4" w:space="0"/>
              <w:bottom w:val="single" w:color="auto" w:sz="4" w:space="0"/>
              <w:right w:val="single" w:color="000000" w:sz="6" w:space="0"/>
            </w:tcBorders>
            <w:noWrap w:val="0"/>
            <w:vAlign w:val="center"/>
          </w:tcPr>
          <w:p w14:paraId="638F28AE">
            <w:pPr>
              <w:spacing w:line="360" w:lineRule="auto"/>
              <w:ind w:left="240" w:hanging="240" w:hangingChars="100"/>
              <w:rPr>
                <w:rFonts w:hint="eastAsia" w:ascii="宋体" w:hAnsi="宋体" w:cs="宋体"/>
                <w:bCs/>
                <w:sz w:val="24"/>
                <w:highlight w:val="none"/>
              </w:rPr>
            </w:pPr>
            <w:r>
              <w:rPr>
                <w:rFonts w:hint="eastAsia" w:ascii="宋体" w:hAnsi="宋体" w:cs="宋体"/>
                <w:bCs/>
                <w:sz w:val="24"/>
                <w:highlight w:val="none"/>
              </w:rPr>
              <w:t>人员培训方案</w:t>
            </w:r>
          </w:p>
        </w:tc>
        <w:tc>
          <w:tcPr>
            <w:tcW w:w="875" w:type="dxa"/>
            <w:tcBorders>
              <w:top w:val="single" w:color="000000" w:sz="6" w:space="0"/>
              <w:left w:val="single" w:color="000000" w:sz="6" w:space="0"/>
              <w:bottom w:val="single" w:color="auto" w:sz="4" w:space="0"/>
              <w:right w:val="single" w:color="000000" w:sz="6" w:space="0"/>
            </w:tcBorders>
            <w:noWrap w:val="0"/>
            <w:vAlign w:val="center"/>
          </w:tcPr>
          <w:p w14:paraId="40BF4D5D">
            <w:pPr>
              <w:spacing w:line="360" w:lineRule="auto"/>
              <w:jc w:val="center"/>
              <w:rPr>
                <w:rFonts w:hint="eastAsia" w:ascii="宋体" w:hAnsi="宋体"/>
                <w:sz w:val="24"/>
                <w:highlight w:val="none"/>
              </w:rPr>
            </w:pPr>
            <w:r>
              <w:rPr>
                <w:rFonts w:hint="eastAsia" w:ascii="宋体" w:hAnsi="宋体"/>
                <w:sz w:val="24"/>
                <w:highlight w:val="none"/>
                <w:lang w:val="en-US" w:eastAsia="zh-CN"/>
              </w:rPr>
              <w:t>5</w:t>
            </w:r>
            <w:r>
              <w:rPr>
                <w:rFonts w:hint="eastAsia" w:ascii="宋体" w:hAnsi="宋体"/>
                <w:sz w:val="24"/>
                <w:highlight w:val="none"/>
              </w:rPr>
              <w:t>分</w:t>
            </w:r>
          </w:p>
        </w:tc>
        <w:tc>
          <w:tcPr>
            <w:tcW w:w="7457" w:type="dxa"/>
            <w:tcBorders>
              <w:top w:val="single" w:color="000000" w:sz="6" w:space="0"/>
              <w:left w:val="single" w:color="000000" w:sz="6" w:space="0"/>
              <w:bottom w:val="single" w:color="auto" w:sz="4" w:space="0"/>
              <w:right w:val="single" w:color="000000" w:sz="6" w:space="0"/>
            </w:tcBorders>
            <w:noWrap w:val="0"/>
            <w:vAlign w:val="top"/>
          </w:tcPr>
          <w:p w14:paraId="33637311">
            <w:pPr>
              <w:autoSpaceDE w:val="0"/>
              <w:autoSpaceDN w:val="0"/>
              <w:adjustRightInd w:val="0"/>
              <w:spacing w:line="360" w:lineRule="auto"/>
              <w:rPr>
                <w:rFonts w:hint="eastAsia" w:ascii="宋体" w:hAnsi="宋体" w:cs="宋体"/>
                <w:sz w:val="24"/>
                <w:highlight w:val="none"/>
              </w:rPr>
            </w:pPr>
            <w:r>
              <w:rPr>
                <w:rFonts w:hint="eastAsia" w:ascii="宋体" w:hAnsi="宋体" w:cs="宋体"/>
                <w:sz w:val="24"/>
                <w:highlight w:val="none"/>
              </w:rPr>
              <w:t>根据供应商</w:t>
            </w:r>
            <w:r>
              <w:rPr>
                <w:rFonts w:hint="eastAsia" w:ascii="宋体" w:hAnsi="宋体" w:cs="宋体"/>
                <w:sz w:val="24"/>
                <w:highlight w:val="none"/>
                <w:lang w:val="zh-CN"/>
              </w:rPr>
              <w:t>提供有针对性的培训方案</w:t>
            </w:r>
            <w:r>
              <w:rPr>
                <w:rFonts w:hint="eastAsia" w:ascii="宋体" w:hAnsi="宋体" w:cs="宋体"/>
                <w:sz w:val="24"/>
                <w:highlight w:val="none"/>
              </w:rPr>
              <w:t>进行综合评价。（</w:t>
            </w:r>
            <w:r>
              <w:rPr>
                <w:rFonts w:hint="eastAsia" w:ascii="宋体" w:hAnsi="宋体" w:cs="宋体"/>
                <w:sz w:val="24"/>
                <w:highlight w:val="none"/>
                <w:lang w:val="zh-CN"/>
              </w:rPr>
              <w:t>包括但不限于培训内容，如岗位标准、专业知识、职业道德；培训方式，如理论学习、实践操作和考试制度、定期培训</w:t>
            </w:r>
            <w:r>
              <w:rPr>
                <w:rFonts w:hint="eastAsia" w:ascii="宋体" w:hAnsi="宋体" w:cs="宋体"/>
                <w:sz w:val="24"/>
                <w:highlight w:val="none"/>
              </w:rPr>
              <w:t>）</w:t>
            </w:r>
          </w:p>
          <w:p w14:paraId="430AAF72">
            <w:pPr>
              <w:numPr>
                <w:ilvl w:val="0"/>
                <w:numId w:val="11"/>
              </w:num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rPr>
              <w:t xml:space="preserve">方案全面、合理、针对性强的得 </w:t>
            </w:r>
            <w:r>
              <w:rPr>
                <w:rFonts w:hint="eastAsia" w:ascii="宋体" w:hAnsi="宋体" w:cs="宋体"/>
                <w:sz w:val="24"/>
                <w:highlight w:val="none"/>
                <w:lang w:val="en-US" w:eastAsia="zh-CN"/>
              </w:rPr>
              <w:t>5</w:t>
            </w:r>
            <w:r>
              <w:rPr>
                <w:rFonts w:hint="eastAsia" w:ascii="宋体" w:hAnsi="宋体" w:cs="宋体"/>
                <w:sz w:val="24"/>
                <w:highlight w:val="none"/>
                <w:lang w:val="zh-CN"/>
              </w:rPr>
              <w:t xml:space="preserve"> 分。</w:t>
            </w:r>
          </w:p>
          <w:p w14:paraId="39A4E2DC">
            <w:pPr>
              <w:numPr>
                <w:ilvl w:val="0"/>
                <w:numId w:val="11"/>
              </w:num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en-US" w:eastAsia="zh-CN"/>
              </w:rPr>
              <w:t>方案内容全面，具有一定针对性的，得4分；</w:t>
            </w:r>
          </w:p>
          <w:p w14:paraId="4AA2EC0A">
            <w:pPr>
              <w:numPr>
                <w:ilvl w:val="0"/>
                <w:numId w:val="11"/>
              </w:num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rPr>
              <w:t>方案</w:t>
            </w:r>
            <w:r>
              <w:rPr>
                <w:rFonts w:hint="eastAsia" w:ascii="宋体" w:hAnsi="宋体" w:cs="宋体"/>
                <w:sz w:val="24"/>
                <w:highlight w:val="none"/>
                <w:lang w:val="en-US" w:eastAsia="zh-CN"/>
              </w:rPr>
              <w:t>基本合理但</w:t>
            </w:r>
            <w:r>
              <w:rPr>
                <w:rFonts w:hint="eastAsia" w:ascii="宋体" w:hAnsi="宋体" w:cs="宋体"/>
                <w:sz w:val="24"/>
                <w:highlight w:val="none"/>
                <w:lang w:val="zh-CN"/>
              </w:rPr>
              <w:t>针对性不强的得</w:t>
            </w:r>
            <w:r>
              <w:rPr>
                <w:rFonts w:hint="eastAsia" w:ascii="宋体" w:hAnsi="宋体" w:cs="宋体"/>
                <w:sz w:val="24"/>
                <w:highlight w:val="none"/>
                <w:lang w:val="en-US" w:eastAsia="zh-CN"/>
              </w:rPr>
              <w:t>2</w:t>
            </w:r>
            <w:r>
              <w:rPr>
                <w:rFonts w:hint="eastAsia" w:ascii="宋体" w:hAnsi="宋体" w:cs="宋体"/>
                <w:sz w:val="24"/>
                <w:highlight w:val="none"/>
                <w:lang w:val="zh-CN"/>
              </w:rPr>
              <w:t>分；</w:t>
            </w:r>
          </w:p>
          <w:p w14:paraId="7CF8349B">
            <w:pPr>
              <w:numPr>
                <w:ilvl w:val="0"/>
                <w:numId w:val="11"/>
              </w:num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rPr>
              <w:t>方案粗略、无针对性地得</w:t>
            </w:r>
            <w:r>
              <w:rPr>
                <w:rFonts w:hint="eastAsia" w:ascii="宋体" w:hAnsi="宋体" w:cs="宋体"/>
                <w:sz w:val="24"/>
                <w:highlight w:val="none"/>
              </w:rPr>
              <w:t>1</w:t>
            </w:r>
            <w:r>
              <w:rPr>
                <w:rFonts w:hint="eastAsia" w:ascii="宋体" w:hAnsi="宋体" w:cs="宋体"/>
                <w:sz w:val="24"/>
                <w:highlight w:val="none"/>
                <w:lang w:val="zh-CN"/>
              </w:rPr>
              <w:t>分；</w:t>
            </w:r>
          </w:p>
          <w:p w14:paraId="1B4ABB1B">
            <w:p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rPr>
              <w:t>未提供内容不得分。</w:t>
            </w:r>
          </w:p>
        </w:tc>
      </w:tr>
      <w:tr w14:paraId="1AAD666A">
        <w:tblPrEx>
          <w:tblCellMar>
            <w:top w:w="0" w:type="dxa"/>
            <w:left w:w="0" w:type="dxa"/>
            <w:bottom w:w="0" w:type="dxa"/>
            <w:right w:w="0" w:type="dxa"/>
          </w:tblCellMar>
        </w:tblPrEx>
        <w:trPr>
          <w:trHeight w:val="4264" w:hRule="exact"/>
        </w:trPr>
        <w:tc>
          <w:tcPr>
            <w:tcW w:w="1061" w:type="dxa"/>
            <w:tcBorders>
              <w:top w:val="single" w:color="auto" w:sz="4" w:space="0"/>
              <w:left w:val="single" w:color="auto" w:sz="4" w:space="0"/>
              <w:bottom w:val="single" w:color="auto" w:sz="4" w:space="0"/>
              <w:right w:val="single" w:color="auto" w:sz="4" w:space="0"/>
            </w:tcBorders>
            <w:noWrap w:val="0"/>
            <w:vAlign w:val="center"/>
          </w:tcPr>
          <w:p w14:paraId="13EC0BFA">
            <w:pPr>
              <w:spacing w:line="360" w:lineRule="auto"/>
              <w:jc w:val="center"/>
              <w:rPr>
                <w:rFonts w:ascii="宋体" w:hAnsi="宋体"/>
                <w:sz w:val="24"/>
                <w:highlight w:val="none"/>
              </w:rPr>
            </w:pPr>
            <w:r>
              <w:rPr>
                <w:rFonts w:hint="eastAsia" w:ascii="宋体" w:hAnsi="宋体"/>
                <w:sz w:val="24"/>
                <w:highlight w:val="none"/>
              </w:rPr>
              <w:t>项目人员配备</w:t>
            </w:r>
          </w:p>
        </w:tc>
        <w:tc>
          <w:tcPr>
            <w:tcW w:w="875" w:type="dxa"/>
            <w:tcBorders>
              <w:top w:val="single" w:color="auto" w:sz="4" w:space="0"/>
              <w:left w:val="single" w:color="auto" w:sz="4" w:space="0"/>
              <w:bottom w:val="single" w:color="auto" w:sz="4" w:space="0"/>
              <w:right w:val="single" w:color="auto" w:sz="4" w:space="0"/>
            </w:tcBorders>
            <w:noWrap w:val="0"/>
            <w:vAlign w:val="center"/>
          </w:tcPr>
          <w:p w14:paraId="27A07616">
            <w:pPr>
              <w:spacing w:line="360" w:lineRule="auto"/>
              <w:jc w:val="center"/>
              <w:rPr>
                <w:rFonts w:ascii="宋体" w:hAnsi="宋体"/>
                <w:sz w:val="24"/>
                <w:highlight w:val="none"/>
              </w:rPr>
            </w:pPr>
            <w:r>
              <w:rPr>
                <w:rFonts w:hint="eastAsia" w:ascii="宋体" w:hAnsi="宋体"/>
                <w:sz w:val="24"/>
                <w:highlight w:val="none"/>
              </w:rPr>
              <w:t>10分</w:t>
            </w:r>
          </w:p>
        </w:tc>
        <w:tc>
          <w:tcPr>
            <w:tcW w:w="7457" w:type="dxa"/>
            <w:tcBorders>
              <w:top w:val="single" w:color="auto" w:sz="4" w:space="0"/>
              <w:left w:val="single" w:color="auto" w:sz="4" w:space="0"/>
              <w:bottom w:val="single" w:color="auto" w:sz="4" w:space="0"/>
              <w:right w:val="single" w:color="auto" w:sz="4" w:space="0"/>
            </w:tcBorders>
            <w:noWrap w:val="0"/>
            <w:vAlign w:val="top"/>
          </w:tcPr>
          <w:p w14:paraId="090751F5">
            <w:pPr>
              <w:spacing w:line="360" w:lineRule="auto"/>
              <w:rPr>
                <w:rFonts w:ascii="宋体" w:hAnsi="宋体"/>
                <w:sz w:val="24"/>
                <w:highlight w:val="none"/>
              </w:rPr>
            </w:pPr>
            <w:r>
              <w:rPr>
                <w:rFonts w:hint="eastAsia" w:ascii="宋体" w:hAnsi="宋体"/>
                <w:sz w:val="24"/>
                <w:highlight w:val="none"/>
              </w:rPr>
              <w:t>根据供应商提供的①管理机构设置②组织</w:t>
            </w:r>
            <w:r>
              <w:rPr>
                <w:rFonts w:hint="eastAsia" w:ascii="宋体" w:hAnsi="宋体"/>
                <w:sz w:val="24"/>
                <w:highlight w:val="none"/>
                <w:lang w:val="en-US" w:eastAsia="zh-CN"/>
              </w:rPr>
              <w:t>协调</w:t>
            </w:r>
            <w:r>
              <w:rPr>
                <w:rFonts w:hint="eastAsia" w:ascii="宋体" w:hAnsi="宋体"/>
                <w:sz w:val="24"/>
                <w:highlight w:val="none"/>
              </w:rPr>
              <w:t>③人员配备④专业技能⑤服务定位等五项情况综合评价，</w:t>
            </w:r>
            <w:r>
              <w:rPr>
                <w:rFonts w:hint="eastAsia" w:ascii="宋体" w:hAnsi="宋体"/>
                <w:sz w:val="24"/>
                <w:highlight w:val="none"/>
                <w:lang w:val="en-US" w:eastAsia="zh-CN"/>
              </w:rPr>
              <w:t>每项内容满分为2分，</w:t>
            </w:r>
            <w:r>
              <w:rPr>
                <w:rFonts w:hint="eastAsia" w:ascii="宋体" w:hAnsi="宋体" w:cs="宋体"/>
                <w:sz w:val="24"/>
                <w:highlight w:val="none"/>
              </w:rPr>
              <w:t>合计10分。</w:t>
            </w:r>
          </w:p>
          <w:p w14:paraId="4E8A7C59">
            <w:pPr>
              <w:spacing w:line="360" w:lineRule="auto"/>
              <w:rPr>
                <w:rFonts w:hint="eastAsia" w:ascii="宋体" w:hAnsi="宋体"/>
                <w:sz w:val="24"/>
                <w:highlight w:val="none"/>
              </w:rPr>
            </w:pPr>
            <w:r>
              <w:rPr>
                <w:rFonts w:hint="eastAsia" w:ascii="宋体" w:hAnsi="宋体"/>
                <w:sz w:val="24"/>
                <w:highlight w:val="none"/>
              </w:rPr>
              <w:t>（1）管理机构设置完善，组织</w:t>
            </w:r>
            <w:r>
              <w:rPr>
                <w:rFonts w:hint="eastAsia" w:ascii="宋体" w:hAnsi="宋体"/>
                <w:sz w:val="24"/>
                <w:highlight w:val="none"/>
                <w:lang w:val="en-US" w:eastAsia="zh-CN"/>
              </w:rPr>
              <w:t>协调</w:t>
            </w:r>
            <w:r>
              <w:rPr>
                <w:rFonts w:hint="eastAsia" w:ascii="宋体" w:hAnsi="宋体"/>
                <w:sz w:val="24"/>
                <w:highlight w:val="none"/>
              </w:rPr>
              <w:t>经验丰富，人员配备完善可行，专业技能对口，服务定位准确，每满足一项得2分。</w:t>
            </w:r>
          </w:p>
          <w:p w14:paraId="67594F36">
            <w:pPr>
              <w:keepNext w:val="0"/>
              <w:keepLines w:val="0"/>
              <w:pageBreakBefore w:val="0"/>
              <w:widowControl w:val="0"/>
              <w:kinsoku/>
              <w:wordWrap/>
              <w:overflowPunct/>
              <w:topLinePunct w:val="0"/>
              <w:bidi w:val="0"/>
              <w:snapToGrid/>
              <w:spacing w:line="360" w:lineRule="auto"/>
              <w:jc w:val="both"/>
              <w:textAlignment w:val="auto"/>
              <w:rPr>
                <w:rFonts w:hint="eastAsia" w:ascii="宋体" w:hAnsi="宋体"/>
                <w:sz w:val="24"/>
                <w:highlight w:val="none"/>
              </w:rPr>
            </w:pPr>
            <w:r>
              <w:rPr>
                <w:rFonts w:hint="eastAsia" w:ascii="宋体" w:hAnsi="宋体"/>
                <w:sz w:val="24"/>
                <w:highlight w:val="none"/>
              </w:rPr>
              <w:t>（2）管理机构设置比较完善，组织</w:t>
            </w:r>
            <w:r>
              <w:rPr>
                <w:rFonts w:hint="eastAsia" w:ascii="宋体" w:hAnsi="宋体"/>
                <w:sz w:val="24"/>
                <w:highlight w:val="none"/>
                <w:lang w:val="en-US" w:eastAsia="zh-CN"/>
              </w:rPr>
              <w:t>协调</w:t>
            </w:r>
            <w:r>
              <w:rPr>
                <w:rFonts w:hint="eastAsia" w:ascii="宋体" w:hAnsi="宋体"/>
                <w:sz w:val="24"/>
                <w:highlight w:val="none"/>
              </w:rPr>
              <w:t>经验比较丰富，人员配备比较完善可行，专业技能基本对口，服务定位基本准确，每满足一项得1分。</w:t>
            </w:r>
          </w:p>
          <w:p w14:paraId="0E813D4B">
            <w:pPr>
              <w:keepNext w:val="0"/>
              <w:keepLines w:val="0"/>
              <w:pageBreakBefore w:val="0"/>
              <w:widowControl w:val="0"/>
              <w:kinsoku/>
              <w:wordWrap/>
              <w:overflowPunct/>
              <w:topLinePunct w:val="0"/>
              <w:bidi w:val="0"/>
              <w:snapToGrid/>
              <w:spacing w:line="360" w:lineRule="auto"/>
              <w:jc w:val="both"/>
              <w:textAlignment w:val="auto"/>
              <w:rPr>
                <w:rFonts w:hint="eastAsia" w:ascii="宋体" w:hAnsi="宋体"/>
                <w:sz w:val="24"/>
                <w:highlight w:val="none"/>
              </w:rPr>
            </w:pPr>
            <w:r>
              <w:rPr>
                <w:rFonts w:hint="eastAsia" w:ascii="宋体" w:hAnsi="宋体"/>
                <w:sz w:val="24"/>
                <w:highlight w:val="none"/>
              </w:rPr>
              <w:t>（3）管理机构设置不完善，组织</w:t>
            </w:r>
            <w:r>
              <w:rPr>
                <w:rFonts w:hint="eastAsia" w:ascii="宋体" w:hAnsi="宋体"/>
                <w:sz w:val="24"/>
                <w:highlight w:val="none"/>
                <w:lang w:val="en-US" w:eastAsia="zh-CN"/>
              </w:rPr>
              <w:t>协调</w:t>
            </w:r>
            <w:r>
              <w:rPr>
                <w:rFonts w:hint="eastAsia" w:ascii="宋体" w:hAnsi="宋体"/>
                <w:sz w:val="24"/>
                <w:highlight w:val="none"/>
              </w:rPr>
              <w:t>经验一般，人员配备不完善不可行，专业技能不对口，服务定位不准确，每满足一项得0.5分。</w:t>
            </w:r>
          </w:p>
          <w:p w14:paraId="16731D3C">
            <w:pPr>
              <w:spacing w:line="360" w:lineRule="auto"/>
              <w:rPr>
                <w:rFonts w:ascii="宋体" w:hAnsi="宋体"/>
                <w:sz w:val="24"/>
                <w:highlight w:val="none"/>
              </w:rPr>
            </w:pPr>
            <w:r>
              <w:rPr>
                <w:rFonts w:hint="eastAsia" w:ascii="宋体" w:hAnsi="宋体"/>
                <w:sz w:val="24"/>
                <w:highlight w:val="none"/>
              </w:rPr>
              <w:t>未提供内容不得分。</w:t>
            </w:r>
          </w:p>
        </w:tc>
      </w:tr>
      <w:tr w14:paraId="263D47EC">
        <w:tblPrEx>
          <w:tblCellMar>
            <w:top w:w="0" w:type="dxa"/>
            <w:left w:w="0" w:type="dxa"/>
            <w:bottom w:w="0" w:type="dxa"/>
            <w:right w:w="0" w:type="dxa"/>
          </w:tblCellMar>
        </w:tblPrEx>
        <w:trPr>
          <w:trHeight w:val="2765" w:hRule="exact"/>
        </w:trPr>
        <w:tc>
          <w:tcPr>
            <w:tcW w:w="1061" w:type="dxa"/>
            <w:tcBorders>
              <w:top w:val="single" w:color="000000" w:sz="6" w:space="0"/>
              <w:left w:val="single" w:color="000000" w:sz="6" w:space="0"/>
              <w:bottom w:val="single" w:color="000000" w:sz="6" w:space="0"/>
              <w:right w:val="single" w:color="000000" w:sz="6" w:space="0"/>
            </w:tcBorders>
            <w:noWrap w:val="0"/>
            <w:vAlign w:val="center"/>
          </w:tcPr>
          <w:p w14:paraId="6418A0FF">
            <w:pPr>
              <w:spacing w:line="360" w:lineRule="auto"/>
              <w:jc w:val="center"/>
              <w:rPr>
                <w:rFonts w:ascii="宋体" w:hAnsi="宋体"/>
                <w:szCs w:val="21"/>
                <w:highlight w:val="none"/>
              </w:rPr>
            </w:pPr>
            <w:r>
              <w:rPr>
                <w:rFonts w:hint="eastAsia" w:ascii="宋体" w:hAnsi="宋体" w:cs="宋体"/>
                <w:kern w:val="0"/>
                <w:sz w:val="24"/>
                <w:highlight w:val="none"/>
              </w:rPr>
              <w:t>服务承诺和合理化建议</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14:paraId="42618FCE">
            <w:pPr>
              <w:autoSpaceDE w:val="0"/>
              <w:autoSpaceDN w:val="0"/>
              <w:adjustRightInd w:val="0"/>
              <w:spacing w:line="360" w:lineRule="auto"/>
              <w:jc w:val="center"/>
              <w:rPr>
                <w:rFonts w:ascii="宋体" w:hAnsi="宋体" w:cs="宋体"/>
                <w:szCs w:val="21"/>
                <w:highlight w:val="none"/>
              </w:rPr>
            </w:pPr>
            <w:r>
              <w:rPr>
                <w:rFonts w:hint="eastAsia" w:ascii="宋体" w:hAnsi="宋体" w:cs="宋体"/>
                <w:sz w:val="24"/>
                <w:highlight w:val="none"/>
              </w:rPr>
              <w:t>4分</w:t>
            </w:r>
          </w:p>
        </w:tc>
        <w:tc>
          <w:tcPr>
            <w:tcW w:w="7457" w:type="dxa"/>
            <w:tcBorders>
              <w:top w:val="single" w:color="000000" w:sz="6" w:space="0"/>
              <w:left w:val="single" w:color="000000" w:sz="6" w:space="0"/>
              <w:bottom w:val="single" w:color="000000" w:sz="6" w:space="0"/>
              <w:right w:val="single" w:color="000000" w:sz="6" w:space="0"/>
            </w:tcBorders>
            <w:noWrap w:val="0"/>
            <w:vAlign w:val="center"/>
          </w:tcPr>
          <w:p w14:paraId="35AACA9A">
            <w:pPr>
              <w:tabs>
                <w:tab w:val="left" w:pos="360"/>
              </w:tabs>
              <w:spacing w:line="360" w:lineRule="auto"/>
              <w:rPr>
                <w:rFonts w:hint="eastAsia" w:ascii="宋体" w:hAnsi="宋体" w:cs="宋体"/>
                <w:kern w:val="0"/>
                <w:sz w:val="24"/>
                <w:highlight w:val="none"/>
                <w:lang w:bidi="ar"/>
              </w:rPr>
            </w:pPr>
            <w:r>
              <w:rPr>
                <w:rFonts w:hint="eastAsia" w:ascii="宋体" w:hAnsi="宋体" w:cs="宋体"/>
                <w:kern w:val="0"/>
                <w:sz w:val="24"/>
                <w:highlight w:val="none"/>
                <w:lang w:bidi="ar"/>
              </w:rPr>
              <w:t>根据供应商提供的有实际意义的</w:t>
            </w:r>
            <w:r>
              <w:rPr>
                <w:rFonts w:hint="eastAsia" w:ascii="宋体" w:hAnsi="宋体" w:cs="宋体"/>
                <w:kern w:val="0"/>
                <w:sz w:val="24"/>
                <w:highlight w:val="none"/>
              </w:rPr>
              <w:t>服务承诺和合理化建议</w:t>
            </w:r>
            <w:r>
              <w:rPr>
                <w:rFonts w:hint="eastAsia" w:ascii="宋体" w:hAnsi="宋体" w:cs="宋体"/>
                <w:kern w:val="0"/>
                <w:sz w:val="24"/>
                <w:highlight w:val="none"/>
                <w:lang w:bidi="ar"/>
              </w:rPr>
              <w:t>进行评价。</w:t>
            </w:r>
          </w:p>
          <w:p w14:paraId="3788C1F8">
            <w:pPr>
              <w:numPr>
                <w:ilvl w:val="0"/>
                <w:numId w:val="12"/>
              </w:numPr>
              <w:tabs>
                <w:tab w:val="left" w:pos="360"/>
              </w:tabs>
              <w:spacing w:line="360" w:lineRule="auto"/>
              <w:rPr>
                <w:rFonts w:hint="eastAsia" w:ascii="宋体" w:hAnsi="宋体"/>
                <w:sz w:val="24"/>
                <w:highlight w:val="none"/>
              </w:rPr>
            </w:pPr>
            <w:r>
              <w:rPr>
                <w:rFonts w:hint="eastAsia" w:ascii="宋体" w:hAnsi="宋体" w:cs="宋体"/>
                <w:kern w:val="0"/>
                <w:sz w:val="24"/>
                <w:highlight w:val="none"/>
              </w:rPr>
              <w:t>服务承诺和合理化建议</w:t>
            </w:r>
            <w:r>
              <w:rPr>
                <w:rFonts w:hint="eastAsia" w:ascii="宋体" w:hAnsi="宋体"/>
                <w:sz w:val="24"/>
                <w:highlight w:val="none"/>
              </w:rPr>
              <w:t>内容全面、优质，具体可行，得4分。</w:t>
            </w:r>
          </w:p>
          <w:p w14:paraId="0A5E2C42">
            <w:pPr>
              <w:numPr>
                <w:ilvl w:val="0"/>
                <w:numId w:val="12"/>
              </w:numPr>
              <w:tabs>
                <w:tab w:val="left" w:pos="360"/>
              </w:tabs>
              <w:spacing w:line="360" w:lineRule="auto"/>
              <w:rPr>
                <w:rFonts w:hint="eastAsia" w:ascii="宋体" w:hAnsi="宋体"/>
                <w:sz w:val="24"/>
                <w:highlight w:val="none"/>
              </w:rPr>
            </w:pPr>
            <w:r>
              <w:rPr>
                <w:rFonts w:hint="eastAsia" w:ascii="宋体" w:hAnsi="宋体"/>
                <w:sz w:val="24"/>
                <w:highlight w:val="none"/>
                <w:lang w:val="en-US" w:eastAsia="zh-CN"/>
              </w:rPr>
              <w:t>服务承诺和合理化建议内容较完善、清晰可行，得3分；</w:t>
            </w:r>
          </w:p>
          <w:p w14:paraId="2D5778B0">
            <w:pPr>
              <w:tabs>
                <w:tab w:val="left" w:pos="360"/>
              </w:tabs>
              <w:spacing w:line="360" w:lineRule="auto"/>
              <w:rPr>
                <w:rFonts w:hint="eastAsia"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3</w:t>
            </w:r>
            <w:r>
              <w:rPr>
                <w:rFonts w:hint="eastAsia" w:ascii="宋体" w:hAnsi="宋体"/>
                <w:sz w:val="24"/>
                <w:highlight w:val="none"/>
              </w:rPr>
              <w:t>）</w:t>
            </w:r>
            <w:r>
              <w:rPr>
                <w:rFonts w:hint="eastAsia" w:ascii="宋体" w:hAnsi="宋体" w:cs="宋体"/>
                <w:kern w:val="0"/>
                <w:sz w:val="24"/>
                <w:highlight w:val="none"/>
              </w:rPr>
              <w:t>服务承诺和合理化建议</w:t>
            </w:r>
            <w:r>
              <w:rPr>
                <w:rFonts w:hint="eastAsia" w:ascii="宋体" w:hAnsi="宋体"/>
                <w:sz w:val="24"/>
                <w:highlight w:val="none"/>
              </w:rPr>
              <w:t>内容基本完整，较为可行，得2分。</w:t>
            </w:r>
          </w:p>
          <w:p w14:paraId="1D96A256">
            <w:pPr>
              <w:autoSpaceDE w:val="0"/>
              <w:autoSpaceDN w:val="0"/>
              <w:adjustRightInd w:val="0"/>
              <w:spacing w:line="360" w:lineRule="auto"/>
              <w:rPr>
                <w:rFonts w:hint="eastAsia"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4</w:t>
            </w:r>
            <w:r>
              <w:rPr>
                <w:rFonts w:hint="eastAsia" w:ascii="宋体" w:hAnsi="宋体"/>
                <w:sz w:val="24"/>
                <w:highlight w:val="none"/>
              </w:rPr>
              <w:t>）</w:t>
            </w:r>
            <w:r>
              <w:rPr>
                <w:rFonts w:hint="eastAsia" w:ascii="宋体" w:hAnsi="宋体" w:cs="宋体"/>
                <w:kern w:val="0"/>
                <w:sz w:val="24"/>
                <w:highlight w:val="none"/>
              </w:rPr>
              <w:t>服务承诺和合理化建议</w:t>
            </w:r>
            <w:r>
              <w:rPr>
                <w:rFonts w:hint="eastAsia" w:ascii="宋体" w:hAnsi="宋体"/>
                <w:sz w:val="24"/>
                <w:highlight w:val="none"/>
              </w:rPr>
              <w:t>内容简单、粗略，无具体保证措施，得1分。</w:t>
            </w:r>
          </w:p>
          <w:p w14:paraId="6C4BD47D">
            <w:pPr>
              <w:autoSpaceDE w:val="0"/>
              <w:autoSpaceDN w:val="0"/>
              <w:adjustRightInd w:val="0"/>
              <w:spacing w:line="360" w:lineRule="auto"/>
              <w:rPr>
                <w:rFonts w:hint="default" w:ascii="宋体" w:hAnsi="宋体" w:eastAsia="宋体"/>
                <w:sz w:val="24"/>
                <w:highlight w:val="none"/>
                <w:lang w:val="en-US" w:eastAsia="zh-CN"/>
              </w:rPr>
            </w:pPr>
            <w:r>
              <w:rPr>
                <w:rFonts w:hint="eastAsia" w:ascii="宋体" w:hAnsi="宋体"/>
                <w:sz w:val="24"/>
                <w:highlight w:val="none"/>
                <w:lang w:val="en-US" w:eastAsia="zh-CN"/>
              </w:rPr>
              <w:t>未提供内容不得分。</w:t>
            </w:r>
          </w:p>
          <w:p w14:paraId="6B975196">
            <w:pPr>
              <w:autoSpaceDE w:val="0"/>
              <w:autoSpaceDN w:val="0"/>
              <w:adjustRightInd w:val="0"/>
              <w:spacing w:line="360" w:lineRule="auto"/>
              <w:rPr>
                <w:rFonts w:ascii="宋体" w:hAnsi="宋体"/>
                <w:szCs w:val="21"/>
                <w:highlight w:val="none"/>
              </w:rPr>
            </w:pPr>
            <w:r>
              <w:rPr>
                <w:rFonts w:hint="eastAsia" w:ascii="宋体" w:hAnsi="宋体" w:cs="宋体"/>
                <w:sz w:val="24"/>
                <w:highlight w:val="none"/>
              </w:rPr>
              <w:t>未提供内容不得分。</w:t>
            </w:r>
          </w:p>
        </w:tc>
      </w:tr>
      <w:tr w14:paraId="5904774A">
        <w:tblPrEx>
          <w:tblCellMar>
            <w:top w:w="0" w:type="dxa"/>
            <w:left w:w="0" w:type="dxa"/>
            <w:bottom w:w="0" w:type="dxa"/>
            <w:right w:w="0" w:type="dxa"/>
          </w:tblCellMar>
        </w:tblPrEx>
        <w:trPr>
          <w:trHeight w:val="1026" w:hRule="exact"/>
        </w:trPr>
        <w:tc>
          <w:tcPr>
            <w:tcW w:w="1061" w:type="dxa"/>
            <w:tcBorders>
              <w:top w:val="single" w:color="000000" w:sz="6" w:space="0"/>
              <w:left w:val="single" w:color="000000" w:sz="6" w:space="0"/>
              <w:bottom w:val="single" w:color="000000" w:sz="6" w:space="0"/>
              <w:right w:val="single" w:color="000000" w:sz="6" w:space="0"/>
            </w:tcBorders>
            <w:noWrap w:val="0"/>
            <w:vAlign w:val="center"/>
          </w:tcPr>
          <w:p w14:paraId="1D40D9DD">
            <w:pPr>
              <w:spacing w:line="360" w:lineRule="auto"/>
              <w:jc w:val="center"/>
              <w:rPr>
                <w:rFonts w:ascii="宋体" w:hAnsi="宋体"/>
                <w:sz w:val="24"/>
                <w:highlight w:val="none"/>
              </w:rPr>
            </w:pPr>
            <w:r>
              <w:rPr>
                <w:rFonts w:hint="eastAsia" w:ascii="宋体" w:hAnsi="宋体"/>
                <w:sz w:val="24"/>
                <w:highlight w:val="none"/>
              </w:rPr>
              <w:t>类似项目业绩</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14:paraId="538A9D9F">
            <w:pPr>
              <w:spacing w:line="360" w:lineRule="auto"/>
              <w:jc w:val="center"/>
              <w:rPr>
                <w:rFonts w:ascii="宋体" w:hAnsi="宋体"/>
                <w:sz w:val="24"/>
                <w:highlight w:val="none"/>
              </w:rPr>
            </w:pPr>
            <w:r>
              <w:rPr>
                <w:rFonts w:hint="eastAsia" w:ascii="宋体" w:hAnsi="宋体"/>
                <w:sz w:val="24"/>
                <w:highlight w:val="none"/>
                <w:lang w:val="en-US" w:eastAsia="zh-CN"/>
              </w:rPr>
              <w:t>6</w:t>
            </w:r>
            <w:r>
              <w:rPr>
                <w:rFonts w:hint="eastAsia" w:ascii="宋体" w:hAnsi="宋体"/>
                <w:sz w:val="24"/>
                <w:highlight w:val="none"/>
              </w:rPr>
              <w:t>分</w:t>
            </w:r>
          </w:p>
        </w:tc>
        <w:tc>
          <w:tcPr>
            <w:tcW w:w="7457" w:type="dxa"/>
            <w:tcBorders>
              <w:top w:val="single" w:color="000000" w:sz="6" w:space="0"/>
              <w:left w:val="single" w:color="000000" w:sz="6" w:space="0"/>
              <w:bottom w:val="single" w:color="000000" w:sz="6" w:space="0"/>
              <w:right w:val="single" w:color="000000" w:sz="6" w:space="0"/>
            </w:tcBorders>
            <w:noWrap w:val="0"/>
            <w:vAlign w:val="center"/>
          </w:tcPr>
          <w:p w14:paraId="296FC134">
            <w:pPr>
              <w:spacing w:line="360" w:lineRule="auto"/>
              <w:jc w:val="left"/>
              <w:rPr>
                <w:rFonts w:ascii="宋体" w:hAnsi="宋体"/>
                <w:sz w:val="24"/>
                <w:highlight w:val="none"/>
              </w:rPr>
            </w:pPr>
            <w:r>
              <w:rPr>
                <w:rFonts w:hint="eastAsia" w:ascii="宋体" w:hAnsi="宋体"/>
                <w:sz w:val="24"/>
                <w:highlight w:val="none"/>
              </w:rPr>
              <w:t>自20</w:t>
            </w:r>
            <w:r>
              <w:rPr>
                <w:rFonts w:hint="eastAsia" w:ascii="宋体" w:hAnsi="宋体"/>
                <w:sz w:val="24"/>
                <w:highlight w:val="none"/>
                <w:lang w:val="en-US" w:eastAsia="zh-CN"/>
              </w:rPr>
              <w:t>21</w:t>
            </w:r>
            <w:r>
              <w:rPr>
                <w:rFonts w:hint="eastAsia" w:ascii="宋体" w:hAnsi="宋体"/>
                <w:sz w:val="24"/>
                <w:highlight w:val="none"/>
              </w:rPr>
              <w:t>年1</w:t>
            </w:r>
            <w:r>
              <w:rPr>
                <w:rFonts w:hint="eastAsia" w:ascii="宋体" w:hAnsi="宋体"/>
                <w:sz w:val="24"/>
                <w:highlight w:val="none"/>
                <w:lang w:val="en-US" w:eastAsia="zh-CN"/>
              </w:rPr>
              <w:t>0</w:t>
            </w:r>
            <w:r>
              <w:rPr>
                <w:rFonts w:hint="eastAsia" w:ascii="宋体" w:hAnsi="宋体"/>
                <w:sz w:val="24"/>
                <w:highlight w:val="none"/>
              </w:rPr>
              <w:t>月1日至今（以签订合同为准）具有类似项目业绩，每份得</w:t>
            </w:r>
            <w:r>
              <w:rPr>
                <w:rFonts w:hint="eastAsia" w:ascii="宋体" w:hAnsi="宋体"/>
                <w:sz w:val="24"/>
                <w:highlight w:val="none"/>
                <w:lang w:val="en-US" w:eastAsia="zh-CN"/>
              </w:rPr>
              <w:t>2</w:t>
            </w:r>
            <w:r>
              <w:rPr>
                <w:rFonts w:hint="eastAsia" w:ascii="宋体" w:hAnsi="宋体"/>
                <w:sz w:val="24"/>
                <w:highlight w:val="none"/>
              </w:rPr>
              <w:t>分，最高</w:t>
            </w:r>
            <w:r>
              <w:rPr>
                <w:rFonts w:hint="eastAsia" w:ascii="宋体" w:hAnsi="宋体"/>
                <w:sz w:val="24"/>
                <w:highlight w:val="none"/>
                <w:lang w:val="en-US" w:eastAsia="zh-CN"/>
              </w:rPr>
              <w:t>6</w:t>
            </w:r>
            <w:r>
              <w:rPr>
                <w:rFonts w:hint="eastAsia" w:ascii="宋体" w:hAnsi="宋体"/>
                <w:sz w:val="24"/>
                <w:highlight w:val="none"/>
              </w:rPr>
              <w:t>分。投标文件中附合同复印件（关键页），否则不得分。</w:t>
            </w:r>
          </w:p>
        </w:tc>
      </w:tr>
    </w:tbl>
    <w:p w14:paraId="6D01E0B5">
      <w:pPr>
        <w:spacing w:line="360" w:lineRule="auto"/>
        <w:ind w:right="2" w:firstLine="480"/>
        <w:rPr>
          <w:rFonts w:hint="eastAsia" w:ascii="宋体" w:hAnsi="宋体" w:cs="宋体"/>
          <w:b/>
          <w:bCs/>
          <w:sz w:val="24"/>
          <w:highlight w:val="none"/>
        </w:rPr>
      </w:pPr>
    </w:p>
    <w:p w14:paraId="25D714A5">
      <w:pPr>
        <w:spacing w:line="360" w:lineRule="auto"/>
        <w:ind w:right="2" w:firstLine="480"/>
        <w:rPr>
          <w:rFonts w:ascii="宋体" w:hAnsi="宋体" w:cs="宋体"/>
          <w:b/>
          <w:bCs/>
          <w:sz w:val="24"/>
          <w:highlight w:val="none"/>
        </w:rPr>
      </w:pPr>
      <w:r>
        <w:rPr>
          <w:rFonts w:hint="eastAsia" w:ascii="宋体" w:hAnsi="宋体" w:cs="宋体"/>
          <w:b/>
          <w:bCs/>
          <w:sz w:val="24"/>
          <w:highlight w:val="none"/>
        </w:rPr>
        <w:t>三、</w:t>
      </w:r>
      <w:bookmarkStart w:id="120" w:name="OLE_LINK23"/>
      <w:r>
        <w:rPr>
          <w:rFonts w:hint="eastAsia" w:ascii="宋体" w:hAnsi="宋体" w:cs="宋体"/>
          <w:b/>
          <w:bCs/>
          <w:sz w:val="24"/>
          <w:highlight w:val="none"/>
        </w:rPr>
        <w:t>评审执行的政府采购政策</w:t>
      </w:r>
      <w:bookmarkEnd w:id="120"/>
    </w:p>
    <w:p w14:paraId="37EA65D0">
      <w:pPr>
        <w:adjustRightInd w:val="0"/>
        <w:snapToGrid w:val="0"/>
        <w:spacing w:line="500" w:lineRule="exact"/>
        <w:ind w:firstLine="480" w:firstLineChars="200"/>
        <w:jc w:val="left"/>
        <w:rPr>
          <w:rFonts w:ascii="宋体" w:hAnsi="宋体" w:cs="仿宋"/>
          <w:snapToGrid w:val="0"/>
          <w:color w:val="auto"/>
          <w:kern w:val="0"/>
          <w:sz w:val="24"/>
          <w:highlight w:val="none"/>
        </w:rPr>
      </w:pPr>
      <w:r>
        <w:rPr>
          <w:rFonts w:hint="eastAsia" w:ascii="宋体" w:hAnsi="宋体" w:cs="仿宋"/>
          <w:snapToGrid w:val="0"/>
          <w:color w:val="auto"/>
          <w:kern w:val="0"/>
          <w:sz w:val="24"/>
          <w:highlight w:val="none"/>
        </w:rPr>
        <w:t>（一）中小微型企业政府采购政策</w:t>
      </w:r>
    </w:p>
    <w:p w14:paraId="631906EB">
      <w:pPr>
        <w:adjustRightInd w:val="0"/>
        <w:snapToGrid w:val="0"/>
        <w:spacing w:line="500" w:lineRule="exact"/>
        <w:ind w:firstLine="480" w:firstLineChars="200"/>
        <w:jc w:val="left"/>
        <w:rPr>
          <w:rFonts w:ascii="宋体" w:hAnsi="宋体" w:cs="仿宋"/>
          <w:snapToGrid w:val="0"/>
          <w:color w:val="auto"/>
          <w:kern w:val="0"/>
          <w:sz w:val="24"/>
          <w:highlight w:val="none"/>
        </w:rPr>
      </w:pPr>
      <w:r>
        <w:rPr>
          <w:rFonts w:hint="eastAsia" w:ascii="宋体" w:hAnsi="宋体" w:cs="仿宋"/>
          <w:snapToGrid w:val="0"/>
          <w:color w:val="auto"/>
          <w:kern w:val="0"/>
          <w:sz w:val="24"/>
          <w:highlight w:val="none"/>
        </w:rPr>
        <w:t>1、为了发挥政府采购的政策功能，促进符合国家经济和社会发展政策目标，产品、服务、信誉较好的中小企业发展，按照《政府采购促进中小企业发展管理办法》规定，对符合规定的小型和微型企业的价格给予 __</w:t>
      </w:r>
      <w:r>
        <w:rPr>
          <w:rFonts w:hint="eastAsia" w:ascii="宋体" w:hAnsi="宋体" w:cs="仿宋"/>
          <w:snapToGrid w:val="0"/>
          <w:color w:val="auto"/>
          <w:kern w:val="0"/>
          <w:sz w:val="24"/>
          <w:highlight w:val="none"/>
          <w:lang w:val="en-US" w:eastAsia="zh-CN"/>
        </w:rPr>
        <w:t>10</w:t>
      </w:r>
      <w:r>
        <w:rPr>
          <w:rFonts w:hint="eastAsia" w:ascii="宋体" w:hAnsi="宋体" w:cs="仿宋"/>
          <w:snapToGrid w:val="0"/>
          <w:color w:val="auto"/>
          <w:kern w:val="0"/>
          <w:sz w:val="24"/>
          <w:highlight w:val="none"/>
        </w:rPr>
        <w:t>__% 的扣除，用扣除后的价格参与评审。评审价格仅为评定价格，不作为最终的成交价格。</w:t>
      </w:r>
    </w:p>
    <w:p w14:paraId="4C30BA22">
      <w:pPr>
        <w:adjustRightInd w:val="0"/>
        <w:snapToGrid w:val="0"/>
        <w:spacing w:line="500" w:lineRule="exact"/>
        <w:ind w:firstLine="480" w:firstLineChars="200"/>
        <w:jc w:val="left"/>
        <w:rPr>
          <w:rFonts w:ascii="宋体" w:hAnsi="宋体" w:cs="仿宋"/>
          <w:snapToGrid w:val="0"/>
          <w:color w:val="auto"/>
          <w:kern w:val="0"/>
          <w:sz w:val="24"/>
          <w:highlight w:val="none"/>
        </w:rPr>
      </w:pPr>
      <w:r>
        <w:rPr>
          <w:rFonts w:hint="eastAsia" w:ascii="宋体" w:hAnsi="宋体" w:cs="仿宋"/>
          <w:snapToGrid w:val="0"/>
          <w:color w:val="auto"/>
          <w:kern w:val="0"/>
          <w:sz w:val="24"/>
          <w:highlight w:val="none"/>
        </w:rPr>
        <w:t>2、</w:t>
      </w:r>
      <w:r>
        <w:rPr>
          <w:color w:val="auto"/>
          <w:sz w:val="25"/>
          <w:szCs w:val="25"/>
          <w:highlight w:val="none"/>
        </w:rPr>
        <w:t>接受大中型企业与小微企业组成联合体或者允许大中型企业向一家或者多家小微企业分包的采购项目，对于联合协议或者分包意向协议约定小微企业的合同份额占到合同总金额</w:t>
      </w:r>
      <w:r>
        <w:rPr>
          <w:rFonts w:hint="eastAsia"/>
          <w:color w:val="auto"/>
          <w:sz w:val="25"/>
          <w:szCs w:val="25"/>
          <w:highlight w:val="none"/>
          <w:lang w:val="en-US" w:eastAsia="zh-CN"/>
        </w:rPr>
        <w:t>45</w:t>
      </w:r>
      <w:r>
        <w:rPr>
          <w:color w:val="auto"/>
          <w:sz w:val="25"/>
          <w:szCs w:val="25"/>
          <w:highlight w:val="none"/>
        </w:rPr>
        <w:t>%以上的</w:t>
      </w:r>
      <w:r>
        <w:rPr>
          <w:rFonts w:hint="eastAsia" w:ascii="宋体" w:hAnsi="宋体" w:cs="仿宋"/>
          <w:snapToGrid w:val="0"/>
          <w:color w:val="auto"/>
          <w:kern w:val="0"/>
          <w:sz w:val="24"/>
          <w:highlight w:val="none"/>
        </w:rPr>
        <w:t>，则在评审过程中评审价格可给予联合体_</w:t>
      </w:r>
      <w:r>
        <w:rPr>
          <w:rFonts w:hint="eastAsia" w:ascii="宋体" w:hAnsi="宋体" w:cs="仿宋"/>
          <w:snapToGrid w:val="0"/>
          <w:color w:val="auto"/>
          <w:kern w:val="0"/>
          <w:sz w:val="24"/>
          <w:highlight w:val="none"/>
          <w:lang w:val="en-US" w:eastAsia="zh-CN"/>
        </w:rPr>
        <w:t>4</w:t>
      </w:r>
      <w:r>
        <w:rPr>
          <w:rFonts w:hint="eastAsia" w:ascii="宋体" w:hAnsi="宋体" w:cs="仿宋"/>
          <w:snapToGrid w:val="0"/>
          <w:color w:val="auto"/>
          <w:kern w:val="0"/>
          <w:sz w:val="24"/>
          <w:highlight w:val="none"/>
        </w:rPr>
        <w:t>_%的价格扣除。如果联合体各方均为小型、微型企业的，联合体视同为小型、微型企业，但联合体各方均应按竞争性磋商文件要求提供中小企业声明函。</w:t>
      </w:r>
    </w:p>
    <w:p w14:paraId="20734BD6">
      <w:pPr>
        <w:adjustRightInd w:val="0"/>
        <w:snapToGrid w:val="0"/>
        <w:spacing w:line="500" w:lineRule="exact"/>
        <w:ind w:firstLine="480" w:firstLineChars="200"/>
        <w:jc w:val="left"/>
        <w:rPr>
          <w:rFonts w:ascii="宋体" w:hAnsi="宋体" w:cs="仿宋"/>
          <w:color w:val="auto"/>
          <w:sz w:val="24"/>
          <w:highlight w:val="none"/>
        </w:rPr>
      </w:pPr>
      <w:r>
        <w:rPr>
          <w:rFonts w:hint="eastAsia" w:ascii="宋体" w:hAnsi="宋体" w:cs="仿宋"/>
          <w:snapToGrid w:val="0"/>
          <w:color w:val="auto"/>
          <w:kern w:val="0"/>
          <w:sz w:val="24"/>
          <w:highlight w:val="none"/>
        </w:rPr>
        <w:t>3、评审价格的计算：评审价格=最后报价×（1-扣除幅度）</w:t>
      </w:r>
      <w:r>
        <w:rPr>
          <w:rFonts w:hint="eastAsia" w:ascii="宋体" w:hAnsi="宋体" w:cs="仿宋"/>
          <w:color w:val="auto"/>
          <w:sz w:val="24"/>
          <w:highlight w:val="none"/>
        </w:rPr>
        <w:t>.</w:t>
      </w:r>
    </w:p>
    <w:p w14:paraId="7BA8557B">
      <w:pPr>
        <w:adjustRightInd w:val="0"/>
        <w:snapToGrid w:val="0"/>
        <w:spacing w:line="500" w:lineRule="exact"/>
        <w:ind w:firstLine="480" w:firstLineChars="200"/>
        <w:jc w:val="left"/>
        <w:rPr>
          <w:rFonts w:ascii="宋体" w:hAnsi="宋体" w:cs="仿宋"/>
          <w:color w:val="auto"/>
          <w:sz w:val="24"/>
          <w:highlight w:val="none"/>
        </w:rPr>
      </w:pPr>
      <w:r>
        <w:rPr>
          <w:rFonts w:hint="eastAsia" w:ascii="宋体" w:hAnsi="宋体" w:cs="仿宋"/>
          <w:color w:val="auto"/>
          <w:sz w:val="24"/>
          <w:highlight w:val="none"/>
        </w:rPr>
        <w:t>（二）监狱企业政府采购政策</w:t>
      </w:r>
    </w:p>
    <w:p w14:paraId="2A854BE7">
      <w:pPr>
        <w:adjustRightInd w:val="0"/>
        <w:snapToGrid w:val="0"/>
        <w:spacing w:line="500" w:lineRule="exact"/>
        <w:ind w:firstLine="480" w:firstLineChars="200"/>
        <w:jc w:val="left"/>
        <w:rPr>
          <w:rFonts w:ascii="宋体" w:hAnsi="宋体" w:cs="仿宋"/>
          <w:color w:val="auto"/>
          <w:sz w:val="24"/>
          <w:highlight w:val="none"/>
        </w:rPr>
      </w:pPr>
      <w:r>
        <w:rPr>
          <w:rFonts w:hint="eastAsia" w:ascii="宋体" w:hAnsi="宋体" w:cs="仿宋"/>
          <w:color w:val="auto"/>
          <w:sz w:val="24"/>
          <w:highlight w:val="none"/>
        </w:rPr>
        <w:t xml:space="preserve"> 对监狱企业的价格给予[</w:t>
      </w:r>
      <w:r>
        <w:rPr>
          <w:rFonts w:hint="eastAsia" w:ascii="宋体" w:hAnsi="宋体" w:cs="仿宋"/>
          <w:color w:val="auto"/>
          <w:sz w:val="24"/>
          <w:highlight w:val="none"/>
          <w:lang w:val="en-US" w:eastAsia="zh-CN"/>
        </w:rPr>
        <w:t>10</w:t>
      </w:r>
      <w:r>
        <w:rPr>
          <w:rFonts w:hint="eastAsia" w:ascii="宋体" w:hAnsi="宋体" w:cs="仿宋"/>
          <w:b/>
          <w:color w:val="auto"/>
          <w:sz w:val="24"/>
          <w:highlight w:val="none"/>
          <w:u w:val="single"/>
        </w:rPr>
        <w:t>_</w:t>
      </w:r>
      <w:r>
        <w:rPr>
          <w:rFonts w:hint="eastAsia" w:ascii="宋体" w:hAnsi="宋体" w:cs="仿宋"/>
          <w:color w:val="auto"/>
          <w:sz w:val="24"/>
          <w:highlight w:val="none"/>
        </w:rPr>
        <w:t>%×（监狱企业产品合计报价/总报价）]的扣除，用扣除后的价格参与评审；参加政府采购活动的监狱企业应当在响应文件中提供监狱企业证明，否则不予认定。</w:t>
      </w:r>
    </w:p>
    <w:p w14:paraId="6FF1736D">
      <w:pPr>
        <w:adjustRightInd w:val="0"/>
        <w:snapToGrid w:val="0"/>
        <w:spacing w:line="500" w:lineRule="exact"/>
        <w:ind w:firstLine="480" w:firstLineChars="200"/>
        <w:jc w:val="left"/>
        <w:rPr>
          <w:rFonts w:ascii="宋体" w:hAnsi="宋体" w:cs="仿宋"/>
          <w:color w:val="auto"/>
          <w:sz w:val="24"/>
          <w:highlight w:val="none"/>
        </w:rPr>
      </w:pPr>
      <w:r>
        <w:rPr>
          <w:rFonts w:hint="eastAsia" w:ascii="宋体" w:hAnsi="宋体" w:cs="仿宋"/>
          <w:color w:val="auto"/>
          <w:sz w:val="24"/>
          <w:highlight w:val="none"/>
        </w:rPr>
        <w:t>（三）残疾人福利性单位政府采购政策</w:t>
      </w:r>
    </w:p>
    <w:p w14:paraId="26278F56">
      <w:pPr>
        <w:adjustRightInd w:val="0"/>
        <w:snapToGrid w:val="0"/>
        <w:spacing w:line="500" w:lineRule="exact"/>
        <w:ind w:firstLine="480" w:firstLineChars="200"/>
        <w:jc w:val="left"/>
        <w:rPr>
          <w:rFonts w:ascii="宋体" w:hAnsi="宋体" w:cs="仿宋"/>
          <w:color w:val="auto"/>
          <w:sz w:val="24"/>
          <w:highlight w:val="none"/>
        </w:rPr>
      </w:pPr>
      <w:r>
        <w:rPr>
          <w:rFonts w:hint="eastAsia" w:ascii="宋体" w:hAnsi="宋体" w:cs="仿宋"/>
          <w:color w:val="auto"/>
          <w:sz w:val="24"/>
          <w:highlight w:val="none"/>
        </w:rPr>
        <w:t>对残疾人福利性单位的价格给予[</w:t>
      </w:r>
      <w:r>
        <w:rPr>
          <w:rFonts w:hint="eastAsia" w:ascii="宋体" w:hAnsi="宋体" w:cs="仿宋"/>
          <w:b w:val="0"/>
          <w:bCs w:val="0"/>
          <w:color w:val="auto"/>
          <w:sz w:val="24"/>
          <w:highlight w:val="none"/>
        </w:rPr>
        <w:t>_</w:t>
      </w:r>
      <w:r>
        <w:rPr>
          <w:rFonts w:hint="eastAsia" w:ascii="宋体" w:hAnsi="宋体" w:cs="仿宋"/>
          <w:b w:val="0"/>
          <w:bCs w:val="0"/>
          <w:color w:val="auto"/>
          <w:sz w:val="24"/>
          <w:highlight w:val="none"/>
          <w:u w:val="single"/>
          <w:lang w:val="en-US" w:eastAsia="zh-CN"/>
        </w:rPr>
        <w:t>10</w:t>
      </w:r>
      <w:r>
        <w:rPr>
          <w:rFonts w:hint="eastAsia" w:ascii="宋体" w:hAnsi="宋体" w:cs="仿宋"/>
          <w:b w:val="0"/>
          <w:bCs w:val="0"/>
          <w:color w:val="auto"/>
          <w:sz w:val="24"/>
          <w:highlight w:val="none"/>
          <w:u w:val="single"/>
        </w:rPr>
        <w:t>_</w:t>
      </w:r>
      <w:r>
        <w:rPr>
          <w:rFonts w:hint="eastAsia" w:ascii="宋体" w:hAnsi="宋体" w:cs="仿宋"/>
          <w:b w:val="0"/>
          <w:bCs w:val="0"/>
          <w:color w:val="auto"/>
          <w:sz w:val="24"/>
          <w:highlight w:val="none"/>
        </w:rPr>
        <w:t>%</w:t>
      </w:r>
      <w:r>
        <w:rPr>
          <w:rFonts w:hint="eastAsia" w:ascii="宋体" w:hAnsi="宋体" w:cs="仿宋"/>
          <w:color w:val="auto"/>
          <w:sz w:val="24"/>
          <w:highlight w:val="none"/>
        </w:rPr>
        <w:t>×（残疾人福利性单位产品合计报价/总报价）]的扣除，用扣除后的价格参与评审。</w:t>
      </w:r>
    </w:p>
    <w:p w14:paraId="7D52B515">
      <w:pPr>
        <w:adjustRightInd w:val="0"/>
        <w:snapToGrid w:val="0"/>
        <w:spacing w:line="500" w:lineRule="exact"/>
        <w:ind w:firstLine="480" w:firstLineChars="200"/>
        <w:jc w:val="left"/>
        <w:rPr>
          <w:rFonts w:ascii="宋体" w:hAnsi="宋体" w:cs="仿宋"/>
          <w:color w:val="auto"/>
          <w:sz w:val="24"/>
          <w:highlight w:val="none"/>
        </w:rPr>
      </w:pPr>
      <w:r>
        <w:rPr>
          <w:rFonts w:hint="eastAsia" w:ascii="宋体" w:hAnsi="宋体" w:cs="仿宋"/>
          <w:color w:val="auto"/>
          <w:sz w:val="24"/>
          <w:highlight w:val="none"/>
        </w:rPr>
        <w:t>符合条件的残疾人福利性单位在参加政府采购活动时，应当提供财库〔2017〕141号规定的《残疾人福利性单位声明函》，并对声明的真实性负责。未提供的，评审时不享受残疾人福利性单位政府采购政策。</w:t>
      </w:r>
    </w:p>
    <w:p w14:paraId="2EF64C1F">
      <w:pPr>
        <w:adjustRightInd w:val="0"/>
        <w:snapToGrid w:val="0"/>
        <w:spacing w:line="500" w:lineRule="exact"/>
        <w:ind w:firstLine="482" w:firstLineChars="200"/>
        <w:jc w:val="left"/>
        <w:rPr>
          <w:rFonts w:ascii="宋体" w:hAnsi="宋体" w:cs="仿宋"/>
          <w:b/>
          <w:color w:val="auto"/>
          <w:sz w:val="24"/>
          <w:highlight w:val="none"/>
        </w:rPr>
      </w:pPr>
      <w:r>
        <w:rPr>
          <w:rFonts w:hint="eastAsia" w:ascii="宋体" w:hAnsi="宋体" w:cs="仿宋"/>
          <w:b/>
          <w:color w:val="auto"/>
          <w:sz w:val="24"/>
          <w:highlight w:val="none"/>
        </w:rPr>
        <w:t>（四）节能、环保产品</w:t>
      </w:r>
    </w:p>
    <w:p w14:paraId="689148FD">
      <w:pPr>
        <w:adjustRightInd w:val="0"/>
        <w:snapToGrid w:val="0"/>
        <w:spacing w:line="500" w:lineRule="exact"/>
        <w:ind w:firstLine="480" w:firstLineChars="200"/>
        <w:jc w:val="left"/>
        <w:rPr>
          <w:rFonts w:ascii="宋体" w:hAnsi="宋体" w:cs="仿宋"/>
          <w:color w:val="auto"/>
          <w:sz w:val="24"/>
          <w:highlight w:val="none"/>
        </w:rPr>
      </w:pPr>
      <w:r>
        <w:rPr>
          <w:rFonts w:hint="eastAsia" w:ascii="宋体" w:hAnsi="宋体" w:cs="仿宋"/>
          <w:color w:val="auto"/>
          <w:sz w:val="24"/>
          <w:highlight w:val="none"/>
        </w:rPr>
        <w:t>1、如供应商提供的产品属于《</w:t>
      </w:r>
      <w:r>
        <w:rPr>
          <w:color w:val="auto"/>
          <w:highlight w:val="none"/>
        </w:rPr>
        <w:fldChar w:fldCharType="begin"/>
      </w:r>
      <w:r>
        <w:rPr>
          <w:color w:val="auto"/>
          <w:highlight w:val="none"/>
        </w:rPr>
        <w:instrText xml:space="preserve"> HYPERLINK "http://gks.mof.gov.cn/zhengfucaigouguanli/201903/P020190329702478575295.pdf" </w:instrText>
      </w:r>
      <w:r>
        <w:rPr>
          <w:color w:val="auto"/>
          <w:highlight w:val="none"/>
        </w:rPr>
        <w:fldChar w:fldCharType="separate"/>
      </w:r>
      <w:r>
        <w:rPr>
          <w:rFonts w:hint="eastAsia" w:ascii="宋体" w:hAnsi="宋体" w:cs="仿宋"/>
          <w:color w:val="auto"/>
          <w:sz w:val="24"/>
          <w:highlight w:val="none"/>
        </w:rPr>
        <w:t>环境标志产品政府采购品目清单</w:t>
      </w:r>
      <w:r>
        <w:rPr>
          <w:rFonts w:hint="eastAsia" w:ascii="宋体" w:hAnsi="宋体" w:cs="仿宋"/>
          <w:color w:val="auto"/>
          <w:sz w:val="24"/>
          <w:highlight w:val="none"/>
        </w:rPr>
        <w:fldChar w:fldCharType="end"/>
      </w:r>
      <w:r>
        <w:rPr>
          <w:rFonts w:hint="eastAsia" w:ascii="宋体" w:hAnsi="宋体" w:cs="仿宋"/>
          <w:color w:val="auto"/>
          <w:sz w:val="24"/>
          <w:highlight w:val="none"/>
        </w:rPr>
        <w:t>》（《财政部 生态环境部关于印发环境标志产品政府采购品目清单的通知》（财库〔2019〕18号））、《节能产品政府采购品目清单》（财政部 发展改革委《关于印发节能产品政府采购品目清单的通知》</w:t>
      </w:r>
      <w:r>
        <w:rPr>
          <w:rFonts w:hint="eastAsia" w:ascii="宋体" w:hAnsi="宋体" w:cs="仿宋"/>
          <w:color w:val="auto"/>
          <w:sz w:val="24"/>
          <w:highlight w:val="none"/>
          <w:lang w:eastAsia="zh-CN"/>
        </w:rPr>
        <w:t>）</w:t>
      </w:r>
      <w:r>
        <w:rPr>
          <w:rFonts w:hint="eastAsia" w:ascii="宋体" w:hAnsi="宋体" w:cs="仿宋"/>
          <w:color w:val="auto"/>
          <w:sz w:val="24"/>
          <w:highlight w:val="none"/>
        </w:rPr>
        <w:t>（财库〔2019〕19号）范围</w:t>
      </w:r>
      <w:r>
        <w:rPr>
          <w:rFonts w:hint="eastAsia" w:ascii="宋体" w:hAnsi="宋体" w:cs="仿宋"/>
          <w:color w:val="auto"/>
          <w:sz w:val="28"/>
          <w:szCs w:val="28"/>
          <w:highlight w:val="none"/>
          <w:shd w:val="clear" w:color="auto" w:fill="FFFFFF"/>
        </w:rPr>
        <w:t>的</w:t>
      </w:r>
      <w:r>
        <w:rPr>
          <w:rFonts w:hint="eastAsia" w:ascii="宋体" w:hAnsi="宋体" w:cs="仿宋"/>
          <w:color w:val="auto"/>
          <w:sz w:val="24"/>
          <w:highlight w:val="none"/>
        </w:rPr>
        <w:t>环保、节能产品，应在响应文件中附</w:t>
      </w:r>
      <w:r>
        <w:rPr>
          <w:rFonts w:hint="eastAsia" w:ascii="宋体" w:hAnsi="宋体" w:cs="仿宋"/>
          <w:b/>
          <w:bCs/>
          <w:color w:val="auto"/>
          <w:sz w:val="24"/>
          <w:highlight w:val="none"/>
        </w:rPr>
        <w:t>国家节能产品认证证书或中国环境标志产品认证证书</w:t>
      </w:r>
      <w:r>
        <w:rPr>
          <w:rFonts w:hint="eastAsia" w:ascii="宋体" w:hAnsi="宋体" w:cs="仿宋"/>
          <w:color w:val="auto"/>
          <w:sz w:val="24"/>
          <w:highlight w:val="none"/>
        </w:rPr>
        <w:t>，</w:t>
      </w:r>
      <w:r>
        <w:rPr>
          <w:rFonts w:hint="eastAsia" w:ascii="宋体" w:hAnsi="宋体" w:cs="仿宋"/>
          <w:b/>
          <w:color w:val="auto"/>
          <w:sz w:val="24"/>
          <w:highlight w:val="none"/>
        </w:rPr>
        <w:t>并在报价表中注明，</w:t>
      </w:r>
      <w:r>
        <w:rPr>
          <w:rFonts w:hint="eastAsia" w:ascii="宋体" w:hAnsi="宋体" w:cs="仿宋"/>
          <w:color w:val="auto"/>
          <w:sz w:val="24"/>
          <w:highlight w:val="none"/>
        </w:rPr>
        <w:t>未按要求提供和注明的，将不给予加分。</w:t>
      </w:r>
      <w:r>
        <w:rPr>
          <w:rFonts w:hint="eastAsia" w:ascii="宋体" w:hAnsi="宋体" w:cs="仿宋"/>
          <w:b/>
          <w:bCs/>
          <w:color w:val="auto"/>
          <w:sz w:val="24"/>
          <w:highlight w:val="none"/>
          <w:u w:val="single"/>
        </w:rPr>
        <w:t>其中，所报产品为政府强制采购产品的（《节能产品政府采购品目清单》中以“★”标注的产品品目）而未提供国家节能产品认证证书的，按无效报价处理。</w:t>
      </w:r>
    </w:p>
    <w:p w14:paraId="0C883BB9">
      <w:pPr>
        <w:adjustRightInd w:val="0"/>
        <w:snapToGrid w:val="0"/>
        <w:spacing w:line="500" w:lineRule="exact"/>
        <w:ind w:firstLine="480" w:firstLineChars="200"/>
        <w:jc w:val="left"/>
        <w:rPr>
          <w:rFonts w:ascii="宋体" w:hAnsi="宋体" w:cs="仿宋"/>
          <w:color w:val="auto"/>
          <w:sz w:val="24"/>
          <w:highlight w:val="none"/>
        </w:rPr>
      </w:pPr>
      <w:r>
        <w:rPr>
          <w:rFonts w:hint="eastAsia" w:ascii="宋体" w:hAnsi="宋体" w:cs="仿宋"/>
          <w:color w:val="auto"/>
          <w:sz w:val="24"/>
          <w:highlight w:val="none"/>
        </w:rPr>
        <w:t>2、本项目磋商小组在综合评审时将在供应商满足基本技术条件的前提下，对技术和价格项目按下列规则给予一定幅度的加分。</w:t>
      </w:r>
    </w:p>
    <w:p w14:paraId="25D3E5B5">
      <w:pPr>
        <w:adjustRightInd w:val="0"/>
        <w:snapToGrid w:val="0"/>
        <w:spacing w:line="500" w:lineRule="exact"/>
        <w:ind w:firstLine="480" w:firstLineChars="200"/>
        <w:jc w:val="left"/>
        <w:rPr>
          <w:rFonts w:ascii="宋体" w:hAnsi="宋体" w:cs="仿宋"/>
          <w:color w:val="auto"/>
          <w:sz w:val="24"/>
          <w:highlight w:val="none"/>
        </w:rPr>
      </w:pPr>
      <w:r>
        <w:rPr>
          <w:rFonts w:hint="eastAsia" w:ascii="宋体" w:hAnsi="宋体" w:cs="仿宋"/>
          <w:color w:val="auto"/>
          <w:sz w:val="24"/>
          <w:highlight w:val="none"/>
        </w:rPr>
        <w:t>（1）在价格</w:t>
      </w:r>
      <w:r>
        <w:rPr>
          <w:rFonts w:hint="eastAsia" w:ascii="宋体" w:hAnsi="宋体" w:cs="仿宋"/>
          <w:color w:val="auto"/>
          <w:sz w:val="24"/>
          <w:highlight w:val="none"/>
          <w:lang w:val="en-US" w:eastAsia="zh-CN"/>
        </w:rPr>
        <w:t>评审</w:t>
      </w:r>
      <w:r>
        <w:rPr>
          <w:rFonts w:hint="eastAsia" w:ascii="宋体" w:hAnsi="宋体" w:cs="仿宋"/>
          <w:color w:val="auto"/>
          <w:sz w:val="24"/>
          <w:highlight w:val="none"/>
        </w:rPr>
        <w:t xml:space="preserve">项中，对节能、环保产品分别给予价格评标总分值的 </w:t>
      </w:r>
      <w:r>
        <w:rPr>
          <w:rFonts w:hint="eastAsia" w:ascii="宋体" w:hAnsi="宋体" w:cs="仿宋"/>
          <w:b/>
          <w:bCs/>
          <w:color w:val="auto"/>
          <w:sz w:val="24"/>
          <w:highlight w:val="none"/>
        </w:rPr>
        <w:t>__</w:t>
      </w:r>
      <w:r>
        <w:rPr>
          <w:rFonts w:hint="eastAsia" w:ascii="宋体" w:hAnsi="宋体" w:cs="仿宋"/>
          <w:b/>
          <w:bCs/>
          <w:color w:val="auto"/>
          <w:sz w:val="24"/>
          <w:highlight w:val="none"/>
          <w:lang w:val="en-US" w:eastAsia="zh-CN"/>
        </w:rPr>
        <w:t>5</w:t>
      </w:r>
      <w:r>
        <w:rPr>
          <w:rFonts w:hint="eastAsia" w:ascii="宋体" w:hAnsi="宋体" w:cs="仿宋"/>
          <w:b/>
          <w:bCs/>
          <w:color w:val="auto"/>
          <w:sz w:val="24"/>
          <w:highlight w:val="none"/>
        </w:rPr>
        <w:t xml:space="preserve">__％ </w:t>
      </w:r>
      <w:r>
        <w:rPr>
          <w:rFonts w:hint="eastAsia" w:ascii="宋体" w:hAnsi="宋体" w:cs="仿宋"/>
          <w:color w:val="auto"/>
          <w:sz w:val="24"/>
          <w:highlight w:val="none"/>
        </w:rPr>
        <w:t>的加分；</w:t>
      </w:r>
    </w:p>
    <w:p w14:paraId="13E104A1">
      <w:pPr>
        <w:adjustRightInd w:val="0"/>
        <w:snapToGrid w:val="0"/>
        <w:spacing w:line="500" w:lineRule="exact"/>
        <w:ind w:firstLine="480" w:firstLineChars="200"/>
        <w:jc w:val="left"/>
        <w:rPr>
          <w:rFonts w:ascii="宋体" w:hAnsi="宋体" w:cs="仿宋"/>
          <w:color w:val="auto"/>
          <w:sz w:val="24"/>
          <w:highlight w:val="none"/>
        </w:rPr>
      </w:pPr>
      <w:r>
        <w:rPr>
          <w:rFonts w:hint="eastAsia" w:ascii="宋体" w:hAnsi="宋体" w:cs="仿宋"/>
          <w:color w:val="auto"/>
          <w:sz w:val="24"/>
          <w:highlight w:val="none"/>
        </w:rPr>
        <w:t>（2）在技术</w:t>
      </w:r>
      <w:r>
        <w:rPr>
          <w:rFonts w:hint="eastAsia" w:ascii="宋体" w:hAnsi="宋体" w:cs="仿宋"/>
          <w:color w:val="auto"/>
          <w:sz w:val="24"/>
          <w:highlight w:val="none"/>
          <w:lang w:val="en-US" w:eastAsia="zh-CN"/>
        </w:rPr>
        <w:t>评审</w:t>
      </w:r>
      <w:r>
        <w:rPr>
          <w:rFonts w:hint="eastAsia" w:ascii="宋体" w:hAnsi="宋体" w:cs="仿宋"/>
          <w:color w:val="auto"/>
          <w:sz w:val="24"/>
          <w:highlight w:val="none"/>
        </w:rPr>
        <w:t xml:space="preserve">项中，对节能、环保产品分别给予技术评标总分值的 </w:t>
      </w:r>
      <w:r>
        <w:rPr>
          <w:rFonts w:hint="eastAsia" w:ascii="宋体" w:hAnsi="宋体" w:cs="仿宋"/>
          <w:b/>
          <w:bCs/>
          <w:color w:val="auto"/>
          <w:sz w:val="24"/>
          <w:highlight w:val="none"/>
        </w:rPr>
        <w:t>__</w:t>
      </w:r>
      <w:r>
        <w:rPr>
          <w:rFonts w:hint="eastAsia" w:ascii="宋体" w:hAnsi="宋体" w:cs="仿宋"/>
          <w:b/>
          <w:bCs/>
          <w:color w:val="auto"/>
          <w:sz w:val="24"/>
          <w:highlight w:val="none"/>
          <w:lang w:val="en-US" w:eastAsia="zh-CN"/>
        </w:rPr>
        <w:t>5</w:t>
      </w:r>
      <w:r>
        <w:rPr>
          <w:rFonts w:hint="eastAsia" w:ascii="宋体" w:hAnsi="宋体" w:cs="仿宋"/>
          <w:b/>
          <w:bCs/>
          <w:color w:val="auto"/>
          <w:sz w:val="24"/>
          <w:highlight w:val="none"/>
        </w:rPr>
        <w:t xml:space="preserve">__％ </w:t>
      </w:r>
      <w:r>
        <w:rPr>
          <w:rFonts w:hint="eastAsia" w:ascii="宋体" w:hAnsi="宋体" w:cs="仿宋"/>
          <w:color w:val="auto"/>
          <w:sz w:val="24"/>
          <w:highlight w:val="none"/>
        </w:rPr>
        <w:t>的加分。</w:t>
      </w:r>
    </w:p>
    <w:p w14:paraId="001A146D">
      <w:pPr>
        <w:adjustRightInd w:val="0"/>
        <w:snapToGrid w:val="0"/>
        <w:spacing w:line="500" w:lineRule="exact"/>
        <w:ind w:firstLine="480" w:firstLineChars="200"/>
        <w:jc w:val="left"/>
        <w:rPr>
          <w:rFonts w:ascii="宋体" w:hAnsi="宋体" w:cs="仿宋"/>
          <w:sz w:val="24"/>
          <w:highlight w:val="none"/>
        </w:rPr>
      </w:pPr>
      <w:r>
        <w:rPr>
          <w:rFonts w:hint="eastAsia" w:ascii="宋体" w:hAnsi="宋体" w:cs="仿宋"/>
          <w:color w:val="auto"/>
          <w:sz w:val="24"/>
          <w:highlight w:val="none"/>
        </w:rPr>
        <w:t>（3）如果供应商提供的产品的一部分为节能、环保产品，由评委在</w:t>
      </w:r>
      <w:r>
        <w:rPr>
          <w:rFonts w:hint="eastAsia" w:ascii="宋体" w:hAnsi="宋体" w:cs="仿宋"/>
          <w:color w:val="auto"/>
          <w:sz w:val="24"/>
          <w:highlight w:val="none"/>
          <w:lang w:val="en-US" w:eastAsia="zh-CN"/>
        </w:rPr>
        <w:t>评审</w:t>
      </w:r>
      <w:r>
        <w:rPr>
          <w:rFonts w:hint="eastAsia" w:ascii="宋体" w:hAnsi="宋体" w:cs="仿宋"/>
          <w:color w:val="auto"/>
          <w:sz w:val="24"/>
          <w:highlight w:val="none"/>
        </w:rPr>
        <w:t xml:space="preserve">时依据节能、环保产品所占比重给予加分，最高不超过价格评标总分值和技术评标总分值的 </w:t>
      </w:r>
      <w:r>
        <w:rPr>
          <w:rFonts w:hint="eastAsia" w:ascii="宋体" w:hAnsi="宋体" w:cs="仿宋"/>
          <w:b/>
          <w:bCs/>
          <w:color w:val="auto"/>
          <w:sz w:val="24"/>
          <w:highlight w:val="none"/>
        </w:rPr>
        <w:t>__</w:t>
      </w:r>
      <w:r>
        <w:rPr>
          <w:rFonts w:hint="eastAsia" w:ascii="宋体" w:hAnsi="宋体" w:cs="仿宋"/>
          <w:b/>
          <w:bCs/>
          <w:color w:val="auto"/>
          <w:sz w:val="24"/>
          <w:highlight w:val="none"/>
          <w:lang w:val="en-US" w:eastAsia="zh-CN"/>
        </w:rPr>
        <w:t>5</w:t>
      </w:r>
      <w:r>
        <w:rPr>
          <w:rFonts w:hint="eastAsia" w:ascii="宋体" w:hAnsi="宋体" w:cs="仿宋"/>
          <w:b/>
          <w:bCs/>
          <w:color w:val="auto"/>
          <w:sz w:val="24"/>
          <w:highlight w:val="none"/>
        </w:rPr>
        <w:t xml:space="preserve">__% </w:t>
      </w:r>
      <w:r>
        <w:rPr>
          <w:rFonts w:hint="eastAsia" w:ascii="宋体" w:hAnsi="宋体" w:cs="仿宋"/>
          <w:color w:val="auto"/>
          <w:sz w:val="24"/>
          <w:highlight w:val="none"/>
        </w:rPr>
        <w:t>。</w:t>
      </w:r>
    </w:p>
    <w:p w14:paraId="0F36EA5A">
      <w:pPr>
        <w:spacing w:line="360" w:lineRule="auto"/>
        <w:rPr>
          <w:rFonts w:ascii="宋体" w:hAnsi="宋体"/>
          <w:sz w:val="32"/>
          <w:highlight w:val="none"/>
        </w:rPr>
      </w:pPr>
      <w:r>
        <w:rPr>
          <w:rFonts w:hint="eastAsia" w:ascii="宋体" w:hAnsi="宋体"/>
          <w:sz w:val="32"/>
          <w:highlight w:val="none"/>
        </w:rPr>
        <w:br w:type="page"/>
      </w:r>
    </w:p>
    <w:p w14:paraId="57B571B1">
      <w:pPr>
        <w:pStyle w:val="2"/>
        <w:spacing w:before="120" w:after="120" w:line="360" w:lineRule="auto"/>
        <w:jc w:val="center"/>
        <w:rPr>
          <w:rFonts w:ascii="宋体" w:hAnsi="宋体"/>
          <w:kern w:val="2"/>
          <w:sz w:val="32"/>
          <w:highlight w:val="none"/>
        </w:rPr>
      </w:pPr>
      <w:bookmarkStart w:id="121" w:name="_Toc17374"/>
      <w:r>
        <w:rPr>
          <w:rFonts w:hint="eastAsia" w:ascii="宋体" w:hAnsi="宋体"/>
          <w:kern w:val="2"/>
          <w:sz w:val="32"/>
          <w:highlight w:val="none"/>
        </w:rPr>
        <w:t>第四章  采购内容及项目要求</w:t>
      </w:r>
      <w:bookmarkEnd w:id="121"/>
    </w:p>
    <w:p w14:paraId="167139E8">
      <w:pPr>
        <w:pStyle w:val="172"/>
        <w:keepNext w:val="0"/>
        <w:keepLines w:val="0"/>
        <w:pageBreakBefore w:val="0"/>
        <w:widowControl w:val="0"/>
        <w:kinsoku/>
        <w:wordWrap/>
        <w:overflowPunct/>
        <w:topLinePunct w:val="0"/>
        <w:bidi w:val="0"/>
        <w:snapToGrid/>
        <w:spacing w:line="360" w:lineRule="auto"/>
        <w:ind w:firstLine="562" w:firstLineChars="200"/>
        <w:textAlignment w:val="auto"/>
        <w:outlineLvl w:val="9"/>
        <w:rPr>
          <w:rFonts w:hint="eastAsia" w:ascii="仿宋_GB2312" w:cs="Times New Roman"/>
          <w:b/>
          <w:bCs/>
          <w:sz w:val="28"/>
          <w:szCs w:val="28"/>
          <w:highlight w:val="none"/>
          <w:lang w:val="en-US" w:eastAsia="zh-CN"/>
        </w:rPr>
      </w:pPr>
      <w:r>
        <w:rPr>
          <w:rFonts w:hint="eastAsia" w:ascii="仿宋_GB2312" w:cs="Times New Roman"/>
          <w:b/>
          <w:bCs/>
          <w:sz w:val="28"/>
          <w:szCs w:val="28"/>
          <w:highlight w:val="none"/>
          <w:lang w:val="en-US" w:eastAsia="zh-CN"/>
        </w:rPr>
        <w:t>B包：消防控制室服务</w:t>
      </w:r>
    </w:p>
    <w:p w14:paraId="1D0B5741">
      <w:pPr>
        <w:pStyle w:val="172"/>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宋体" w:hAnsi="宋体" w:eastAsia="宋体" w:cs="宋体"/>
          <w:b/>
          <w:bCs/>
          <w:color w:val="000000"/>
          <w:kern w:val="2"/>
          <w:sz w:val="24"/>
          <w:szCs w:val="24"/>
          <w:highlight w:val="none"/>
          <w:lang w:val="en-US" w:eastAsia="zh-CN" w:bidi="ar-SA"/>
        </w:rPr>
      </w:pPr>
      <w:r>
        <w:rPr>
          <w:rFonts w:hint="eastAsia" w:ascii="仿宋_GB2312" w:cs="Times New Roman"/>
          <w:b/>
          <w:bCs/>
          <w:sz w:val="24"/>
          <w:szCs w:val="24"/>
          <w:highlight w:val="none"/>
          <w:lang w:val="en-US" w:eastAsia="zh-CN"/>
        </w:rPr>
        <w:t>一</w:t>
      </w:r>
      <w:r>
        <w:rPr>
          <w:rFonts w:hint="eastAsia" w:ascii="宋体" w:hAnsi="宋体" w:eastAsia="宋体" w:cs="宋体"/>
          <w:b/>
          <w:bCs/>
          <w:color w:val="000000"/>
          <w:kern w:val="2"/>
          <w:sz w:val="24"/>
          <w:szCs w:val="24"/>
          <w:highlight w:val="none"/>
          <w:lang w:val="en-US" w:eastAsia="zh-CN" w:bidi="ar-SA"/>
        </w:rPr>
        <w:t>、服务要求</w:t>
      </w:r>
    </w:p>
    <w:p w14:paraId="7C9037D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（一）预计用工4人。</w:t>
      </w:r>
    </w:p>
    <w:p w14:paraId="3C5BE5A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（二）投标人须具消防设施维护保养相关</w:t>
      </w:r>
      <w:r>
        <w:rPr>
          <w:rFonts w:hint="eastAsia" w:ascii="宋体" w:hAnsi="宋体" w:cs="宋体"/>
          <w:color w:val="000000"/>
          <w:kern w:val="2"/>
          <w:sz w:val="24"/>
          <w:szCs w:val="24"/>
          <w:highlight w:val="none"/>
          <w:lang w:val="en-US" w:eastAsia="zh-CN" w:bidi="ar-SA"/>
        </w:rPr>
        <w:t>技术能力</w:t>
      </w:r>
      <w:r>
        <w:rPr>
          <w:rFonts w:hint="default" w:ascii="宋体" w:hAnsi="宋体" w:eastAsia="宋体" w:cs="宋体"/>
          <w:color w:val="000000"/>
          <w:kern w:val="2"/>
          <w:sz w:val="24"/>
          <w:szCs w:val="24"/>
          <w:highlight w:val="none"/>
          <w:lang w:val="en-US" w:eastAsia="zh-CN" w:bidi="ar-SA"/>
        </w:rPr>
        <w:t>，严格执行医院制定的管理及考核规定。</w:t>
      </w:r>
    </w:p>
    <w:p w14:paraId="74496B6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（三）所聘用从业人员必须服从甲方管理，具有消防设施操作相关资格证书，且缴纳必要的工伤等相关类的保险。</w:t>
      </w:r>
    </w:p>
    <w:p w14:paraId="0F91B6A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（四）负责消防控制室内消防、监控设备的日常操作、监控、管理、值班工作，会处理一般故障，认真履行相关制度、岗位职责，不得擅离职守。</w:t>
      </w:r>
    </w:p>
    <w:p w14:paraId="460DA8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（五）保证消防控制室设备完好，经常进行卫生保洁和检查；定期做好系统功能巡检、试验，协助技术、维保人员做好修理、维护工作，不得擅自拆除、挪用或停用消防设备，保证设备正常运行。</w:t>
      </w:r>
    </w:p>
    <w:p w14:paraId="5F4E0AD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（六）服从医院安排，值守消防控制室岗位，做好火警、故障记录和值班记录。</w:t>
      </w:r>
    </w:p>
    <w:p w14:paraId="2864AB3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（七）熟悉并掌握消防设备的使用性能及操作规程，保证发生火灾等特殊事故，应急处置过程操作迅速、有序、准确。</w:t>
      </w:r>
    </w:p>
    <w:p w14:paraId="56C264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（八）接到火灾警报后，应立即核实确认，一旦确认，迅速按火警处置流程进行处置，并正确有效地指挥相关人员扑救火灾及人员疏散。</w:t>
      </w:r>
    </w:p>
    <w:p w14:paraId="399F4C7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（九）必须具有高度的工作责任心,认真履行岗位职责,不间断巡查各视频监控信息，发现事故、异常情况应立即按应急处置流程处置；完成领导安排的其他工作。</w:t>
      </w:r>
    </w:p>
    <w:p w14:paraId="3107495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（十）年龄在20～55岁，身体健康，无传染病，无残疾，无纹身等明显标记，反应灵敏，有较强的理解及执行能力，会操作消防自动联动控制系统、视频监控平台及建议的电脑操作。</w:t>
      </w:r>
    </w:p>
    <w:p w14:paraId="317A386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（十一）派驻值班人员，接受乙方和甲方所属职能管理部门双重领导和管理。</w:t>
      </w:r>
    </w:p>
    <w:p w14:paraId="71BFC9A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（十二）遵纪守法，品行良好，无违法犯罪记录，优先聘用退伍军人和医院工作经历者。</w:t>
      </w:r>
    </w:p>
    <w:p w14:paraId="738FD45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（十三）所聘用员上岗前必须经过公安部门筛查无犯罪或不良行为记录才能录用。</w:t>
      </w:r>
    </w:p>
    <w:p w14:paraId="255D5B4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（十四）必须遵守医院的相关规章制度和管理规定，按岗位要求着装统一、整齐，仪表端正，态度和蔼、坚持原则、尽职尽责。</w:t>
      </w:r>
    </w:p>
    <w:p w14:paraId="5EF78FE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（十五）工作期间要服从命令、听从指挥，不得聚众闲谈，严禁打闹、嬉戏、看书报、睡觉、酒后上岗、玩手机或做与工作无关的事情。</w:t>
      </w:r>
    </w:p>
    <w:p w14:paraId="3A90A4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（十六）上岗人员要熟悉责任区内人员状况和设备状况（包括电源、水源、防火器材、报警器材、通讯器材等），熟练掌握院内各类通讯、消防、应急、门禁等系统、设施的使用及操作方法。</w:t>
      </w:r>
    </w:p>
    <w:p w14:paraId="2FB08E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（十七）所用人员数量根据医院实际需求情况，按照协议内容进行增减。</w:t>
      </w:r>
    </w:p>
    <w:p w14:paraId="3FA01C5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（十八）爱护医院的公私财物，做好日常节能工作。</w:t>
      </w:r>
    </w:p>
    <w:p w14:paraId="3B3C6A6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（十九）热情主动地为医院工作人员及患者服务。</w:t>
      </w:r>
    </w:p>
    <w:p w14:paraId="728421C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kern w:val="2"/>
          <w:sz w:val="24"/>
          <w:szCs w:val="24"/>
          <w:highlight w:val="none"/>
          <w:lang w:val="en-US" w:eastAsia="zh-CN" w:bidi="ar-SA"/>
        </w:rPr>
        <w:sectPr>
          <w:footerReference r:id="rId6" w:type="default"/>
          <w:pgSz w:w="11907" w:h="16840"/>
          <w:pgMar w:top="1418" w:right="1417" w:bottom="1418" w:left="1417" w:header="851" w:footer="822" w:gutter="0"/>
          <w:pgNumType w:fmt="decimal"/>
          <w:cols w:space="720" w:num="1"/>
          <w:rtlGutter w:val="1"/>
          <w:docGrid w:linePitch="290" w:charSpace="0"/>
        </w:sectPr>
      </w:pPr>
      <w:r>
        <w:rPr>
          <w:rFonts w:hint="default" w:ascii="宋体" w:hAnsi="宋体" w:eastAsia="宋体" w:cs="宋体"/>
          <w:color w:val="000000"/>
          <w:kern w:val="2"/>
          <w:sz w:val="24"/>
          <w:szCs w:val="24"/>
          <w:highlight w:val="none"/>
          <w:lang w:val="en-US" w:eastAsia="zh-CN" w:bidi="ar-SA"/>
        </w:rPr>
        <w:t>（二十）完成领导临时交办的其他任务。</w:t>
      </w:r>
    </w:p>
    <w:p w14:paraId="2C6721AB">
      <w:pPr>
        <w:pStyle w:val="2"/>
        <w:spacing w:before="120" w:after="120" w:line="360" w:lineRule="auto"/>
        <w:jc w:val="center"/>
        <w:rPr>
          <w:rFonts w:hint="eastAsia" w:ascii="宋体" w:hAnsi="宋体"/>
          <w:kern w:val="2"/>
          <w:sz w:val="32"/>
          <w:highlight w:val="none"/>
        </w:rPr>
      </w:pPr>
      <w:bookmarkStart w:id="122" w:name="_Toc7639"/>
      <w:bookmarkStart w:id="123" w:name="_Toc6570"/>
      <w:r>
        <w:rPr>
          <w:rFonts w:hint="eastAsia" w:ascii="宋体" w:hAnsi="宋体"/>
          <w:kern w:val="2"/>
          <w:sz w:val="32"/>
          <w:highlight w:val="none"/>
        </w:rPr>
        <w:t>第五章  合同格式</w:t>
      </w:r>
      <w:bookmarkEnd w:id="122"/>
      <w:r>
        <w:rPr>
          <w:rFonts w:hint="eastAsia" w:ascii="宋体" w:hAnsi="宋体"/>
          <w:kern w:val="2"/>
          <w:sz w:val="32"/>
          <w:highlight w:val="none"/>
        </w:rPr>
        <w:t>（</w:t>
      </w:r>
      <w:r>
        <w:rPr>
          <w:rFonts w:hint="eastAsia" w:ascii="宋体" w:hAnsi="宋体"/>
          <w:kern w:val="2"/>
          <w:sz w:val="32"/>
          <w:highlight w:val="none"/>
          <w:lang w:val="en-US" w:eastAsia="zh-CN"/>
        </w:rPr>
        <w:t>参考</w:t>
      </w:r>
      <w:r>
        <w:rPr>
          <w:rFonts w:hint="eastAsia" w:ascii="宋体" w:hAnsi="宋体"/>
          <w:kern w:val="2"/>
          <w:sz w:val="32"/>
          <w:highlight w:val="none"/>
        </w:rPr>
        <w:t>）</w:t>
      </w:r>
      <w:bookmarkEnd w:id="123"/>
    </w:p>
    <w:p w14:paraId="210CFEC2">
      <w:pPr>
        <w:pStyle w:val="51"/>
        <w:pBdr>
          <w:bottom w:val="none" w:color="auto" w:sz="0" w:space="0"/>
        </w:pBdr>
        <w:tabs>
          <w:tab w:val="right" w:pos="8460"/>
          <w:tab w:val="clear" w:pos="8306"/>
        </w:tabs>
        <w:spacing w:line="360" w:lineRule="auto"/>
        <w:jc w:val="right"/>
        <w:rPr>
          <w:rFonts w:ascii="宋体" w:hAnsi="宋体"/>
          <w:b/>
          <w:sz w:val="30"/>
          <w:szCs w:val="30"/>
          <w:highlight w:val="none"/>
        </w:rPr>
      </w:pPr>
    </w:p>
    <w:p w14:paraId="59ABB1E9">
      <w:pPr>
        <w:spacing w:line="360" w:lineRule="auto"/>
        <w:jc w:val="center"/>
        <w:rPr>
          <w:rFonts w:ascii="宋体" w:hAnsi="宋体"/>
          <w:sz w:val="44"/>
          <w:highlight w:val="none"/>
        </w:rPr>
      </w:pPr>
    </w:p>
    <w:p w14:paraId="68179130">
      <w:pPr>
        <w:spacing w:line="276" w:lineRule="auto"/>
        <w:jc w:val="center"/>
        <w:rPr>
          <w:rFonts w:hint="eastAsia" w:ascii="宋体" w:hAnsi="宋体" w:eastAsia="宋体" w:cs="宋体"/>
          <w:bCs/>
          <w:sz w:val="40"/>
          <w:szCs w:val="40"/>
          <w:highlight w:val="none"/>
        </w:rPr>
      </w:pPr>
      <w:r>
        <w:rPr>
          <w:rFonts w:hint="eastAsia" w:ascii="宋体" w:hAnsi="宋体" w:eastAsia="宋体" w:cs="宋体"/>
          <w:bCs/>
          <w:sz w:val="40"/>
          <w:szCs w:val="40"/>
          <w:highlight w:val="none"/>
          <w:lang w:val="zh-CN"/>
        </w:rPr>
        <w:t>泰安市中心医院（青岛大学附属泰安市中心医院、泰山医养中心）</w:t>
      </w:r>
      <w:r>
        <w:rPr>
          <w:rFonts w:hint="eastAsia" w:ascii="宋体" w:hAnsi="宋体" w:eastAsia="宋体" w:cs="宋体"/>
          <w:bCs/>
          <w:sz w:val="40"/>
          <w:szCs w:val="40"/>
          <w:highlight w:val="none"/>
        </w:rPr>
        <w:t>采购合同</w:t>
      </w:r>
    </w:p>
    <w:p w14:paraId="078C930A">
      <w:pPr>
        <w:autoSpaceDE w:val="0"/>
        <w:autoSpaceDN w:val="0"/>
        <w:spacing w:line="500" w:lineRule="exact"/>
        <w:rPr>
          <w:rFonts w:hint="default" w:ascii="仿宋" w:hAnsi="仿宋" w:eastAsia="仿宋"/>
          <w:sz w:val="24"/>
          <w:szCs w:val="24"/>
          <w:highlight w:val="none"/>
          <w:lang w:val="zh-CN"/>
        </w:rPr>
      </w:pPr>
    </w:p>
    <w:p w14:paraId="6708C1E3">
      <w:pPr>
        <w:rPr>
          <w:rFonts w:hint="default" w:ascii="仿宋" w:hAnsi="仿宋" w:eastAsia="仿宋"/>
          <w:highlight w:val="none"/>
        </w:rPr>
      </w:pPr>
    </w:p>
    <w:p w14:paraId="740C6B71">
      <w:pPr>
        <w:adjustRightInd w:val="0"/>
        <w:snapToGrid w:val="0"/>
        <w:spacing w:line="360" w:lineRule="auto"/>
        <w:ind w:firstLine="562" w:firstLineChars="200"/>
        <w:jc w:val="left"/>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rPr>
        <w:t>项目名称：</w:t>
      </w:r>
    </w:p>
    <w:p w14:paraId="7D2B1F77">
      <w:pPr>
        <w:adjustRightInd w:val="0"/>
        <w:snapToGrid w:val="0"/>
        <w:spacing w:line="360" w:lineRule="auto"/>
        <w:ind w:firstLine="562" w:firstLineChars="200"/>
        <w:jc w:val="left"/>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rPr>
        <w:t>项目编号：</w:t>
      </w:r>
    </w:p>
    <w:p w14:paraId="74F1A340">
      <w:pPr>
        <w:adjustRightInd w:val="0"/>
        <w:snapToGrid w:val="0"/>
        <w:spacing w:line="360" w:lineRule="auto"/>
        <w:ind w:firstLine="562" w:firstLineChars="200"/>
        <w:jc w:val="left"/>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rPr>
        <w:t>合同编号：</w:t>
      </w:r>
    </w:p>
    <w:p w14:paraId="426E470C">
      <w:pPr>
        <w:adjustRightInd w:val="0"/>
        <w:snapToGrid w:val="0"/>
        <w:spacing w:line="360" w:lineRule="auto"/>
        <w:ind w:firstLine="562" w:firstLineChars="200"/>
        <w:jc w:val="left"/>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rPr>
        <w:t>采购方式：公开招标</w:t>
      </w:r>
    </w:p>
    <w:p w14:paraId="50F1EE98">
      <w:pPr>
        <w:adjustRightInd w:val="0"/>
        <w:snapToGrid w:val="0"/>
        <w:spacing w:line="360" w:lineRule="auto"/>
        <w:ind w:firstLine="562" w:firstLineChars="200"/>
        <w:jc w:val="left"/>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rPr>
        <w:t>代理机构：海逸恒安项目管理有限公司</w:t>
      </w:r>
    </w:p>
    <w:p w14:paraId="19A621E2">
      <w:pPr>
        <w:rPr>
          <w:rFonts w:hint="eastAsia" w:ascii="宋体" w:hAnsi="宋体" w:eastAsia="宋体" w:cs="宋体"/>
          <w:sz w:val="28"/>
          <w:szCs w:val="28"/>
          <w:highlight w:val="none"/>
        </w:rPr>
      </w:pPr>
    </w:p>
    <w:p w14:paraId="79F852C3">
      <w:pPr>
        <w:spacing w:before="120"/>
        <w:rPr>
          <w:rFonts w:hint="eastAsia" w:ascii="宋体" w:hAnsi="宋体" w:eastAsia="宋体" w:cs="宋体"/>
          <w:sz w:val="28"/>
          <w:szCs w:val="28"/>
          <w:highlight w:val="none"/>
        </w:rPr>
      </w:pPr>
    </w:p>
    <w:p w14:paraId="58989F2B">
      <w:pPr>
        <w:rPr>
          <w:rFonts w:hint="eastAsia" w:ascii="宋体" w:hAnsi="宋体" w:eastAsia="宋体" w:cs="宋体"/>
          <w:sz w:val="28"/>
          <w:szCs w:val="28"/>
          <w:highlight w:val="none"/>
        </w:rPr>
      </w:pPr>
    </w:p>
    <w:p w14:paraId="29216234">
      <w:pPr>
        <w:adjustRightInd w:val="0"/>
        <w:snapToGrid w:val="0"/>
        <w:spacing w:line="360" w:lineRule="auto"/>
        <w:ind w:firstLine="562" w:firstLineChars="200"/>
        <w:jc w:val="left"/>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rPr>
        <w:t>甲方：泰安市中心医院(青岛大学附属泰安市中心医院、泰山医养中心)</w:t>
      </w:r>
    </w:p>
    <w:p w14:paraId="110CBC2E">
      <w:pPr>
        <w:adjustRightInd w:val="0"/>
        <w:snapToGrid w:val="0"/>
        <w:spacing w:line="360" w:lineRule="auto"/>
        <w:ind w:firstLine="562" w:firstLineChars="200"/>
        <w:jc w:val="left"/>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rPr>
        <w:t>乙方：</w:t>
      </w:r>
    </w:p>
    <w:p w14:paraId="06C00AA1">
      <w:pPr>
        <w:adjustRightInd w:val="0"/>
        <w:snapToGrid w:val="0"/>
        <w:spacing w:line="360" w:lineRule="auto"/>
        <w:ind w:firstLine="562" w:firstLineChars="200"/>
        <w:jc w:val="left"/>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rPr>
        <w:t>合同签订地点：泰安市中心医院（青岛大学附属泰安市中心医院、泰山医养中心）</w:t>
      </w:r>
    </w:p>
    <w:p w14:paraId="66097808">
      <w:pPr>
        <w:autoSpaceDE w:val="0"/>
        <w:autoSpaceDN w:val="0"/>
        <w:spacing w:line="360" w:lineRule="auto"/>
        <w:ind w:firstLine="482"/>
        <w:rPr>
          <w:rFonts w:hint="default" w:ascii="仿宋" w:hAnsi="仿宋" w:eastAsia="仿宋"/>
          <w:color w:val="000000"/>
          <w:sz w:val="24"/>
          <w:highlight w:val="none"/>
        </w:rPr>
      </w:pPr>
    </w:p>
    <w:p w14:paraId="68DA5F62">
      <w:pPr>
        <w:autoSpaceDE w:val="0"/>
        <w:autoSpaceDN w:val="0"/>
        <w:spacing w:line="360" w:lineRule="auto"/>
        <w:ind w:firstLine="482"/>
        <w:rPr>
          <w:rFonts w:hint="default" w:ascii="仿宋" w:hAnsi="仿宋" w:eastAsia="仿宋"/>
          <w:color w:val="000000"/>
          <w:sz w:val="24"/>
          <w:highlight w:val="none"/>
        </w:rPr>
      </w:pPr>
    </w:p>
    <w:p w14:paraId="122FF90E">
      <w:pPr>
        <w:spacing w:line="360" w:lineRule="auto"/>
        <w:ind w:firstLine="964" w:firstLineChars="300"/>
        <w:jc w:val="right"/>
        <w:rPr>
          <w:rFonts w:hint="default" w:ascii="宋体" w:hAnsi="宋体"/>
          <w:b/>
          <w:bCs/>
          <w:szCs w:val="21"/>
          <w:highlight w:val="none"/>
        </w:rPr>
      </w:pPr>
      <w:r>
        <w:rPr>
          <w:rFonts w:ascii="宋体" w:hAnsi="宋体"/>
          <w:b/>
          <w:bCs/>
          <w:sz w:val="32"/>
          <w:szCs w:val="32"/>
          <w:highlight w:val="none"/>
        </w:rPr>
        <w:t xml:space="preserve">                             </w:t>
      </w:r>
    </w:p>
    <w:p w14:paraId="126B1789">
      <w:pPr>
        <w:spacing w:line="360" w:lineRule="auto"/>
        <w:ind w:firstLine="632" w:firstLineChars="300"/>
        <w:jc w:val="right"/>
        <w:rPr>
          <w:rFonts w:hint="default" w:ascii="宋体" w:hAnsi="宋体"/>
          <w:b/>
          <w:bCs/>
          <w:szCs w:val="21"/>
          <w:highlight w:val="none"/>
        </w:rPr>
        <w:sectPr>
          <w:pgSz w:w="11906" w:h="16838"/>
          <w:pgMar w:top="1440" w:right="1800" w:bottom="1440" w:left="1800" w:header="851" w:footer="992" w:gutter="0"/>
          <w:pgNumType w:fmt="decimal"/>
          <w:cols w:space="720" w:num="1"/>
          <w:docGrid w:type="lines" w:linePitch="312" w:charSpace="0"/>
        </w:sectPr>
      </w:pPr>
    </w:p>
    <w:p w14:paraId="5B1EA7ED">
      <w:pPr>
        <w:wordWrap w:val="0"/>
        <w:spacing w:line="360" w:lineRule="auto"/>
        <w:ind w:firstLine="632" w:firstLineChars="300"/>
        <w:jc w:val="right"/>
        <w:rPr>
          <w:rFonts w:hint="default" w:ascii="宋体" w:hAnsi="宋体" w:eastAsia="宋体"/>
          <w:b/>
          <w:bCs/>
          <w:szCs w:val="21"/>
          <w:highlight w:val="none"/>
          <w:lang w:val="en-US" w:eastAsia="zh-CN"/>
        </w:rPr>
      </w:pPr>
      <w:r>
        <w:rPr>
          <w:rFonts w:ascii="宋体" w:hAnsi="宋体"/>
          <w:b/>
          <w:bCs/>
          <w:szCs w:val="21"/>
          <w:highlight w:val="none"/>
        </w:rPr>
        <w:t>合同编号：</w:t>
      </w:r>
      <w:r>
        <w:rPr>
          <w:rFonts w:hint="eastAsia" w:ascii="宋体" w:hAnsi="宋体"/>
          <w:b/>
          <w:bCs/>
          <w:szCs w:val="21"/>
          <w:highlight w:val="none"/>
          <w:u w:val="single"/>
          <w:lang w:val="en-US" w:eastAsia="zh-CN"/>
        </w:rPr>
        <w:t xml:space="preserve">         </w:t>
      </w:r>
    </w:p>
    <w:p w14:paraId="4962D4AE">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u w:val="single"/>
          <w:lang w:val="zh-CN"/>
        </w:rPr>
        <w:t>泰安市中心医院（青岛大学附属泰安市中心医院、泰山医养中心）</w:t>
      </w:r>
      <w:r>
        <w:rPr>
          <w:rFonts w:hint="eastAsia" w:ascii="宋体" w:hAnsi="宋体" w:eastAsia="宋体" w:cs="宋体"/>
          <w:sz w:val="24"/>
          <w:szCs w:val="24"/>
          <w:highlight w:val="none"/>
          <w:lang w:val="zh-CN"/>
        </w:rPr>
        <w:t>（甲方）</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所需</w:t>
      </w:r>
      <w:r>
        <w:rPr>
          <w:rFonts w:hint="eastAsia" w:ascii="宋体" w:hAnsi="宋体" w:eastAsia="宋体" w:cs="宋体"/>
          <w:sz w:val="24"/>
          <w:szCs w:val="24"/>
          <w:highlight w:val="none"/>
          <w:u w:val="single"/>
          <w:lang w:val="zh-CN"/>
        </w:rPr>
        <w:t>市立院区安保服务</w:t>
      </w:r>
      <w:r>
        <w:rPr>
          <w:rFonts w:hint="eastAsia" w:ascii="宋体" w:hAnsi="宋体" w:cs="宋体"/>
          <w:sz w:val="24"/>
          <w:szCs w:val="24"/>
          <w:highlight w:val="none"/>
          <w:u w:val="single"/>
          <w:lang w:val="en-US" w:eastAsia="zh-CN"/>
        </w:rPr>
        <w:t>采购</w:t>
      </w:r>
      <w:r>
        <w:rPr>
          <w:rFonts w:hint="eastAsia" w:ascii="宋体" w:hAnsi="宋体" w:eastAsia="宋体" w:cs="宋体"/>
          <w:sz w:val="24"/>
          <w:szCs w:val="24"/>
          <w:highlight w:val="none"/>
          <w:u w:val="single"/>
          <w:lang w:val="zh-CN"/>
        </w:rPr>
        <w:t>项目</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服务</w:t>
      </w:r>
      <w:r>
        <w:rPr>
          <w:rFonts w:hint="eastAsia" w:ascii="宋体" w:hAnsi="宋体" w:eastAsia="宋体" w:cs="宋体"/>
          <w:sz w:val="24"/>
          <w:szCs w:val="24"/>
          <w:highlight w:val="none"/>
          <w:lang w:val="zh-CN"/>
        </w:rPr>
        <w:t>名称）在国内以</w:t>
      </w:r>
      <w:r>
        <w:rPr>
          <w:rFonts w:hint="eastAsia" w:ascii="宋体" w:hAnsi="宋体" w:eastAsia="宋体" w:cs="宋体"/>
          <w:sz w:val="24"/>
          <w:szCs w:val="24"/>
          <w:highlight w:val="none"/>
        </w:rPr>
        <w:t>公开招标</w:t>
      </w:r>
      <w:r>
        <w:rPr>
          <w:rFonts w:hint="eastAsia" w:ascii="宋体" w:hAnsi="宋体" w:eastAsia="宋体" w:cs="宋体"/>
          <w:sz w:val="24"/>
          <w:szCs w:val="24"/>
          <w:highlight w:val="none"/>
          <w:lang w:val="zh-CN"/>
        </w:rPr>
        <w:t>方式进行采购。经</w:t>
      </w:r>
      <w:r>
        <w:rPr>
          <w:rFonts w:hint="eastAsia" w:ascii="宋体" w:hAnsi="宋体" w:eastAsia="宋体" w:cs="宋体"/>
          <w:sz w:val="24"/>
          <w:szCs w:val="24"/>
          <w:highlight w:val="none"/>
        </w:rPr>
        <w:t>评标委员会</w:t>
      </w:r>
      <w:r>
        <w:rPr>
          <w:rFonts w:hint="eastAsia" w:ascii="宋体" w:hAnsi="宋体" w:eastAsia="宋体" w:cs="宋体"/>
          <w:sz w:val="24"/>
          <w:szCs w:val="24"/>
          <w:highlight w:val="none"/>
          <w:lang w:val="zh-CN"/>
        </w:rPr>
        <w:t>确定</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（乙方）为</w:t>
      </w:r>
      <w:r>
        <w:rPr>
          <w:rFonts w:hint="eastAsia" w:ascii="宋体" w:hAnsi="宋体" w:eastAsia="宋体" w:cs="宋体"/>
          <w:sz w:val="24"/>
          <w:szCs w:val="24"/>
          <w:highlight w:val="none"/>
        </w:rPr>
        <w:t>成交供应商</w:t>
      </w:r>
      <w:r>
        <w:rPr>
          <w:rFonts w:hint="eastAsia" w:ascii="宋体" w:hAnsi="宋体" w:eastAsia="宋体" w:cs="宋体"/>
          <w:sz w:val="24"/>
          <w:szCs w:val="24"/>
          <w:highlight w:val="none"/>
          <w:lang w:val="zh-CN"/>
        </w:rPr>
        <w:t>。现按照《中华人民共和国民法典》等相关规定，本着互惠互利的原则，签订本合同，以资共同信守。</w:t>
      </w:r>
    </w:p>
    <w:p w14:paraId="0720ACAF">
      <w:pPr>
        <w:keepNext w:val="0"/>
        <w:keepLines w:val="0"/>
        <w:pageBreakBefore w:val="0"/>
        <w:widowControl w:val="0"/>
        <w:kinsoku/>
        <w:wordWrap/>
        <w:overflowPunct/>
        <w:topLinePunct w:val="0"/>
        <w:autoSpaceDE w:val="0"/>
        <w:autoSpaceDN w:val="0"/>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zh-CN"/>
        </w:rPr>
        <w:t>一、合同文件</w:t>
      </w:r>
    </w:p>
    <w:p w14:paraId="6AE364D9">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1、下列文件构成本合同的组成部分：</w:t>
      </w:r>
    </w:p>
    <w:p w14:paraId="2797062F">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w:t>
      </w:r>
      <w:r>
        <w:rPr>
          <w:rFonts w:hint="eastAsia" w:ascii="宋体" w:hAnsi="宋体" w:eastAsia="宋体" w:cs="宋体"/>
          <w:sz w:val="24"/>
          <w:szCs w:val="24"/>
          <w:highlight w:val="none"/>
        </w:rPr>
        <w:t>招标</w:t>
      </w:r>
      <w:r>
        <w:rPr>
          <w:rFonts w:hint="eastAsia" w:ascii="宋体" w:hAnsi="宋体" w:eastAsia="宋体" w:cs="宋体"/>
          <w:sz w:val="24"/>
          <w:szCs w:val="24"/>
          <w:highlight w:val="none"/>
          <w:lang w:val="zh-CN"/>
        </w:rPr>
        <w:t>文件</w:t>
      </w:r>
    </w:p>
    <w:p w14:paraId="6186DD40">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（2）中标单位投标文件</w:t>
      </w:r>
    </w:p>
    <w:p w14:paraId="7AF50834">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w:t>
      </w:r>
      <w:r>
        <w:rPr>
          <w:rFonts w:hint="eastAsia" w:ascii="宋体" w:hAnsi="宋体" w:eastAsia="宋体" w:cs="宋体"/>
          <w:sz w:val="24"/>
          <w:szCs w:val="24"/>
          <w:highlight w:val="none"/>
        </w:rPr>
        <w:t>中标</w:t>
      </w:r>
      <w:r>
        <w:rPr>
          <w:rFonts w:hint="eastAsia" w:ascii="宋体" w:hAnsi="宋体" w:eastAsia="宋体" w:cs="宋体"/>
          <w:sz w:val="24"/>
          <w:szCs w:val="24"/>
          <w:highlight w:val="none"/>
          <w:lang w:val="zh-CN"/>
        </w:rPr>
        <w:t>通知书</w:t>
      </w:r>
    </w:p>
    <w:p w14:paraId="2F4BC157">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（4）中标单位在评审过程中做出的有关澄清、说明、承诺或者补正文件</w:t>
      </w:r>
    </w:p>
    <w:p w14:paraId="2867DBBA">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（5）附件</w:t>
      </w:r>
    </w:p>
    <w:p w14:paraId="22D2A311">
      <w:pPr>
        <w:keepNext w:val="0"/>
        <w:keepLines w:val="0"/>
        <w:pageBreakBefore w:val="0"/>
        <w:widowControl w:val="0"/>
        <w:kinsoku/>
        <w:wordWrap/>
        <w:overflowPunct/>
        <w:topLinePunct w:val="0"/>
        <w:autoSpaceDE w:val="0"/>
        <w:autoSpaceDN w:val="0"/>
        <w:bidi w:val="0"/>
        <w:spacing w:line="360" w:lineRule="auto"/>
        <w:ind w:firstLine="482" w:firstLineChars="200"/>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zh-CN"/>
        </w:rPr>
        <w:t>二、合同的范围和条件</w:t>
      </w:r>
    </w:p>
    <w:p w14:paraId="05CCB181">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zh-CN"/>
        </w:rPr>
        <w:t>本合同的范围和条件应与上述合同文件的规定相一致。</w:t>
      </w:r>
    </w:p>
    <w:p w14:paraId="79529179">
      <w:pPr>
        <w:keepNext w:val="0"/>
        <w:keepLines w:val="0"/>
        <w:pageBreakBefore w:val="0"/>
        <w:widowControl w:val="0"/>
        <w:kinsoku/>
        <w:wordWrap/>
        <w:overflowPunct/>
        <w:topLinePunct w:val="0"/>
        <w:autoSpaceDE w:val="0"/>
        <w:autoSpaceDN w:val="0"/>
        <w:bidi w:val="0"/>
        <w:spacing w:line="360" w:lineRule="auto"/>
        <w:ind w:firstLine="482" w:firstLineChars="200"/>
        <w:textAlignment w:val="auto"/>
        <w:rPr>
          <w:rFonts w:hint="eastAsia" w:ascii="宋体" w:hAnsi="宋体" w:eastAsia="宋体" w:cs="宋体"/>
          <w:b/>
          <w:bCs/>
          <w:sz w:val="24"/>
          <w:szCs w:val="24"/>
          <w:highlight w:val="none"/>
          <w:lang w:val="zh-CN"/>
        </w:rPr>
      </w:pPr>
      <w:r>
        <w:rPr>
          <w:rFonts w:hint="eastAsia" w:ascii="宋体" w:hAnsi="宋体" w:eastAsia="宋体" w:cs="宋体"/>
          <w:b/>
          <w:bCs/>
          <w:sz w:val="24"/>
          <w:szCs w:val="24"/>
          <w:highlight w:val="none"/>
          <w:lang w:val="zh-CN"/>
        </w:rPr>
        <w:t>三、服务项目</w:t>
      </w:r>
    </w:p>
    <w:p w14:paraId="2123FE6D">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zh-CN"/>
        </w:rPr>
        <w:t>本合同所提供的服务项目内容：</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sz w:val="24"/>
          <w:szCs w:val="24"/>
          <w:highlight w:val="none"/>
          <w:u w:val="single"/>
        </w:rPr>
        <w:t>。</w:t>
      </w:r>
    </w:p>
    <w:p w14:paraId="20274E93">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（与响应文件中服务明细表一致）。</w:t>
      </w:r>
    </w:p>
    <w:p w14:paraId="0F9151D5">
      <w:pPr>
        <w:keepNext w:val="0"/>
        <w:keepLines w:val="0"/>
        <w:pageBreakBefore w:val="0"/>
        <w:widowControl w:val="0"/>
        <w:kinsoku/>
        <w:wordWrap/>
        <w:overflowPunct/>
        <w:topLinePunct w:val="0"/>
        <w:autoSpaceDE w:val="0"/>
        <w:autoSpaceDN w:val="0"/>
        <w:bidi w:val="0"/>
        <w:spacing w:line="360" w:lineRule="auto"/>
        <w:ind w:firstLine="482" w:firstLineChars="200"/>
        <w:textAlignment w:val="auto"/>
        <w:rPr>
          <w:rFonts w:hint="eastAsia" w:ascii="宋体" w:hAnsi="宋体" w:eastAsia="宋体" w:cs="宋体"/>
          <w:b/>
          <w:bCs/>
          <w:sz w:val="24"/>
          <w:szCs w:val="24"/>
          <w:highlight w:val="none"/>
          <w:lang w:val="zh-CN"/>
        </w:rPr>
      </w:pPr>
      <w:r>
        <w:rPr>
          <w:rFonts w:hint="eastAsia" w:ascii="宋体" w:hAnsi="宋体" w:eastAsia="宋体" w:cs="宋体"/>
          <w:b/>
          <w:bCs/>
          <w:sz w:val="24"/>
          <w:szCs w:val="24"/>
          <w:highlight w:val="none"/>
          <w:lang w:val="zh-CN"/>
        </w:rPr>
        <w:t>四、合同金额</w:t>
      </w:r>
    </w:p>
    <w:p w14:paraId="48AEFE6C">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合同金额为</w:t>
      </w:r>
      <w:r>
        <w:rPr>
          <w:rFonts w:hint="eastAsia" w:ascii="宋体" w:hAnsi="宋体" w:eastAsia="宋体" w:cs="宋体"/>
          <w:sz w:val="24"/>
          <w:szCs w:val="24"/>
          <w:highlight w:val="none"/>
        </w:rPr>
        <w:t>一年服务</w:t>
      </w:r>
      <w:r>
        <w:rPr>
          <w:rFonts w:hint="eastAsia" w:ascii="宋体" w:hAnsi="宋体" w:eastAsia="宋体" w:cs="宋体"/>
          <w:sz w:val="24"/>
          <w:szCs w:val="24"/>
          <w:highlight w:val="none"/>
          <w:lang w:val="zh-CN"/>
        </w:rPr>
        <w:t>费人民币</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元（含税</w:t>
      </w:r>
      <w:r>
        <w:rPr>
          <w:rFonts w:hint="eastAsia" w:ascii="宋体" w:hAnsi="宋体" w:eastAsia="宋体" w:cs="宋体"/>
          <w:sz w:val="24"/>
          <w:szCs w:val="24"/>
          <w:highlight w:val="none"/>
        </w:rPr>
        <w:t>价</w:t>
      </w:r>
      <w:r>
        <w:rPr>
          <w:rFonts w:hint="eastAsia" w:ascii="宋体" w:hAnsi="宋体" w:eastAsia="宋体" w:cs="宋体"/>
          <w:sz w:val="24"/>
          <w:szCs w:val="24"/>
          <w:highlight w:val="none"/>
          <w:lang w:val="zh-CN"/>
        </w:rPr>
        <w:t>），大写：</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合同金额为完税价（包含但不限于、服务、人工、保险费、物品耗材、维修保养费等与本合同有关的所有费用），甲方不再向乙方支付其他费用。</w:t>
      </w:r>
    </w:p>
    <w:p w14:paraId="617F079B">
      <w:pPr>
        <w:pStyle w:val="62"/>
        <w:keepNext w:val="0"/>
        <w:keepLines w:val="0"/>
        <w:pageBreakBefore w:val="0"/>
        <w:widowControl w:val="0"/>
        <w:kinsoku/>
        <w:wordWrap/>
        <w:overflowPunct/>
        <w:topLinePunct w:val="0"/>
        <w:bidi w:val="0"/>
        <w:spacing w:line="360" w:lineRule="auto"/>
        <w:ind w:left="0" w:leftChars="0" w:firstLine="480" w:firstLineChars="200"/>
        <w:jc w:val="both"/>
        <w:textAlignment w:val="auto"/>
        <w:rPr>
          <w:rFonts w:hint="eastAsia" w:ascii="宋体" w:hAnsi="宋体" w:eastAsia="宋体" w:cs="宋体"/>
          <w:sz w:val="24"/>
          <w:szCs w:val="24"/>
          <w:highlight w:val="none"/>
          <w:lang w:val="zh-CN"/>
        </w:rPr>
      </w:pPr>
      <w:r>
        <w:rPr>
          <w:rFonts w:hint="eastAsia" w:ascii="宋体" w:hAnsi="宋体" w:eastAsia="宋体" w:cs="宋体"/>
          <w:smallCaps w:val="0"/>
          <w:sz w:val="24"/>
          <w:szCs w:val="24"/>
          <w:highlight w:val="none"/>
          <w:lang w:val="zh-CN"/>
        </w:rPr>
        <w:t>满意度要求达到90%，每低于一个点扣罚500元；考核标准为百分制，每分值对应人民币为100元，合格分值为95分，每接到一次投诉，经查证属实一次罚款100元，每发现空岗一人，扣除一人当月服务费，相同岗位发生相同情况，加倍处罚。双方应以甲方确认的乙方实际在岗人数（非约定岗位人数）据实结算服务费（</w:t>
      </w:r>
      <w:r>
        <w:rPr>
          <w:rFonts w:hint="eastAsia" w:ascii="宋体" w:hAnsi="宋体" w:eastAsia="宋体" w:cs="宋体"/>
          <w:smallCaps w:val="0"/>
          <w:sz w:val="24"/>
          <w:szCs w:val="24"/>
          <w:highlight w:val="none"/>
          <w:lang w:val="en-US" w:eastAsia="zh-CN"/>
        </w:rPr>
        <w:t>每月每人按</w:t>
      </w:r>
      <w:r>
        <w:rPr>
          <w:rFonts w:hint="eastAsia" w:ascii="宋体" w:hAnsi="宋体" w:eastAsia="宋体" w:cs="宋体"/>
          <w:smallCaps w:val="0"/>
          <w:sz w:val="24"/>
          <w:szCs w:val="24"/>
          <w:highlight w:val="none"/>
          <w:u w:val="single"/>
          <w:lang w:val="en-US" w:eastAsia="zh-CN"/>
        </w:rPr>
        <w:t xml:space="preserve">    </w:t>
      </w:r>
      <w:r>
        <w:rPr>
          <w:rFonts w:hint="eastAsia" w:ascii="宋体" w:hAnsi="宋体" w:eastAsia="宋体" w:cs="宋体"/>
          <w:smallCaps w:val="0"/>
          <w:sz w:val="24"/>
          <w:szCs w:val="24"/>
          <w:highlight w:val="none"/>
          <w:lang w:val="en-US" w:eastAsia="zh-CN"/>
        </w:rPr>
        <w:t>元进行结算</w:t>
      </w:r>
      <w:r>
        <w:rPr>
          <w:rFonts w:hint="eastAsia" w:ascii="宋体" w:hAnsi="宋体" w:eastAsia="宋体" w:cs="宋体"/>
          <w:smallCaps w:val="0"/>
          <w:sz w:val="24"/>
          <w:szCs w:val="24"/>
          <w:highlight w:val="none"/>
          <w:lang w:val="zh-CN"/>
        </w:rPr>
        <w:t>）。</w:t>
      </w:r>
    </w:p>
    <w:p w14:paraId="02BB3A92">
      <w:pPr>
        <w:pStyle w:val="41"/>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highlight w:val="none"/>
          <w:lang w:val="zh-CN"/>
        </w:rPr>
      </w:pPr>
      <w:r>
        <w:rPr>
          <w:rFonts w:hint="eastAsia" w:ascii="宋体" w:hAnsi="宋体" w:eastAsia="宋体" w:cs="宋体"/>
          <w:b/>
          <w:bCs/>
          <w:sz w:val="24"/>
          <w:szCs w:val="24"/>
          <w:highlight w:val="none"/>
        </w:rPr>
        <w:t>五、</w:t>
      </w:r>
      <w:r>
        <w:rPr>
          <w:rFonts w:hint="eastAsia" w:ascii="宋体" w:hAnsi="宋体" w:eastAsia="宋体" w:cs="宋体"/>
          <w:b/>
          <w:bCs/>
          <w:sz w:val="24"/>
          <w:szCs w:val="24"/>
          <w:highlight w:val="none"/>
          <w:lang w:val="zh-CN"/>
        </w:rPr>
        <w:t>付款途径：</w:t>
      </w:r>
    </w:p>
    <w:p w14:paraId="02A7B231">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甲方支付</w:t>
      </w:r>
    </w:p>
    <w:p w14:paraId="0B58F735">
      <w:pPr>
        <w:pStyle w:val="41"/>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highlight w:val="none"/>
          <w:lang w:val="zh-CN"/>
        </w:rPr>
      </w:pPr>
      <w:r>
        <w:rPr>
          <w:rFonts w:hint="eastAsia" w:ascii="宋体" w:hAnsi="宋体" w:eastAsia="宋体" w:cs="宋体"/>
          <w:b/>
          <w:bCs/>
          <w:sz w:val="24"/>
          <w:szCs w:val="24"/>
          <w:highlight w:val="none"/>
          <w:lang w:val="zh-CN"/>
        </w:rPr>
        <w:t>六、付款方式</w:t>
      </w:r>
    </w:p>
    <w:p w14:paraId="7B669384">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zh-CN"/>
        </w:rPr>
        <w:t>1、本项目无预付款，自服务开始后，下个月初付上个月的服务费（费用按甲方主管部门</w:t>
      </w:r>
      <w:r>
        <w:rPr>
          <w:rFonts w:hint="eastAsia" w:ascii="宋体" w:hAnsi="宋体" w:eastAsia="宋体" w:cs="宋体"/>
          <w:color w:val="000000"/>
          <w:sz w:val="24"/>
          <w:szCs w:val="24"/>
          <w:highlight w:val="none"/>
        </w:rPr>
        <w:t>书面</w:t>
      </w:r>
      <w:r>
        <w:rPr>
          <w:rFonts w:hint="eastAsia" w:ascii="宋体" w:hAnsi="宋体" w:eastAsia="宋体" w:cs="宋体"/>
          <w:color w:val="000000"/>
          <w:sz w:val="24"/>
          <w:szCs w:val="24"/>
          <w:highlight w:val="none"/>
          <w:lang w:val="zh-CN"/>
        </w:rPr>
        <w:t>确定为准）。服务无任何质量问题和争议纠纷的并经乙方开具国家认可的全额发票后，由甲方根据考核结果支付上个月费用（不计利息）。如乙方未开具发票的，甲方有权拒绝付款。</w:t>
      </w:r>
    </w:p>
    <w:p w14:paraId="70D57618">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2、在合同履行过程中，若税务或政府其他部门变更本合同所涉发票的规定，则乙方应提供符合新规定的发票。因乙方提供的发票未能达到税务或政府其他部门要求致使甲方被要求补缴税款、罚款或遭受其他损失的，乙方应赔偿甲方因此而受到的损失。</w:t>
      </w:r>
    </w:p>
    <w:p w14:paraId="6522A383">
      <w:pPr>
        <w:pStyle w:val="41"/>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zh-CN"/>
        </w:rPr>
        <w:t>七、服务期限</w:t>
      </w:r>
      <w:r>
        <w:rPr>
          <w:rFonts w:hint="eastAsia" w:ascii="宋体" w:hAnsi="宋体" w:eastAsia="宋体" w:cs="宋体"/>
          <w:b/>
          <w:bCs/>
          <w:color w:val="auto"/>
          <w:sz w:val="24"/>
          <w:szCs w:val="24"/>
          <w:highlight w:val="none"/>
        </w:rPr>
        <w:t>、地点</w:t>
      </w:r>
      <w:r>
        <w:rPr>
          <w:rFonts w:hint="eastAsia" w:ascii="宋体" w:hAnsi="宋体" w:eastAsia="宋体" w:cs="宋体"/>
          <w:b/>
          <w:bCs/>
          <w:color w:val="auto"/>
          <w:sz w:val="24"/>
          <w:szCs w:val="24"/>
          <w:highlight w:val="none"/>
        </w:rPr>
        <w:tab/>
      </w:r>
    </w:p>
    <w:p w14:paraId="61469F65">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1、服务期限：</w:t>
      </w:r>
      <w:r>
        <w:rPr>
          <w:rFonts w:hint="eastAsia" w:ascii="宋体" w:hAnsi="宋体" w:eastAsia="宋体" w:cs="宋体"/>
          <w:color w:val="auto"/>
          <w:sz w:val="24"/>
          <w:szCs w:val="24"/>
          <w:highlight w:val="none"/>
          <w:u w:val="single"/>
          <w:lang w:val="zh-CN"/>
        </w:rPr>
        <w:t>自合同签订之日起</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val="zh-CN"/>
        </w:rPr>
        <w:t>年。</w:t>
      </w:r>
    </w:p>
    <w:p w14:paraId="3A922E51">
      <w:pPr>
        <w:pStyle w:val="271"/>
        <w:keepNext w:val="0"/>
        <w:keepLines w:val="0"/>
        <w:pageBreakBefore w:val="0"/>
        <w:widowControl w:val="0"/>
        <w:tabs>
          <w:tab w:val="left" w:pos="1909"/>
        </w:tabs>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2、服务地点：</w:t>
      </w:r>
      <w:r>
        <w:rPr>
          <w:rFonts w:hint="eastAsia" w:ascii="宋体" w:hAnsi="宋体" w:eastAsia="宋体" w:cs="宋体"/>
          <w:color w:val="auto"/>
          <w:sz w:val="24"/>
          <w:szCs w:val="24"/>
          <w:highlight w:val="none"/>
          <w:u w:val="single"/>
          <w:lang w:val="en-US" w:eastAsia="zh-CN"/>
        </w:rPr>
        <w:t>采购人指定地点</w:t>
      </w:r>
    </w:p>
    <w:p w14:paraId="66FD9FF0">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八、双方权利和义务</w:t>
      </w:r>
    </w:p>
    <w:p w14:paraId="61A06F4F">
      <w:pPr>
        <w:pStyle w:val="41"/>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（一）甲方权利和义务</w:t>
      </w:r>
    </w:p>
    <w:p w14:paraId="7F2EEDD0">
      <w:pPr>
        <w:pStyle w:val="41"/>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对乙方管理实施监督检查，有权要求乙方对违反服务承诺的事项进行限期整改，有权要求乙方采纳甲方提出的合理要求，有权对乙方不称职的人员提出撤换的建议，定期对乙方管理及服务进行全面考核评定，对乙方因管理不善，造成重大经济损失，造成严重社会负面影响的有权追究乙方责任。</w:t>
      </w:r>
    </w:p>
    <w:p w14:paraId="3DC02281">
      <w:pPr>
        <w:pStyle w:val="41"/>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2、有权要求乙方按双方约定的工作标准提供管理服务持续改进报告。</w:t>
      </w:r>
    </w:p>
    <w:p w14:paraId="0D937379">
      <w:pPr>
        <w:pStyle w:val="41"/>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3、有权对乙方违反法律法规、政策的行为进行处理，包括责令限期整改，停止违章行为，并要求赔偿经济损失。</w:t>
      </w:r>
    </w:p>
    <w:p w14:paraId="785BCF11">
      <w:pPr>
        <w:pStyle w:val="41"/>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、甲方应支持乙方依法或依本合同规定内容所进行的管理和服务活动。对乙方在后勤管理服务质量过程中存在的问题及缺陷，甲方有义务对乙方反馈，并提出建议，乙方应采取有效措施进行改进。</w:t>
      </w:r>
    </w:p>
    <w:p w14:paraId="03B766B8">
      <w:pPr>
        <w:pStyle w:val="41"/>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、甲方可根据实际情况与乙方协商岗位人员调整、合同区域外工作，但应征得对方同意。</w:t>
      </w:r>
    </w:p>
    <w:p w14:paraId="3D18AB4D">
      <w:pPr>
        <w:pStyle w:val="41"/>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(二)乙方的权利和义务</w:t>
      </w:r>
    </w:p>
    <w:p w14:paraId="5B3815BD">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1、根据有关法律、法规政策及合同规定，听取甲方意见，制定</w:t>
      </w:r>
      <w:r>
        <w:rPr>
          <w:rFonts w:hint="eastAsia" w:ascii="宋体" w:hAnsi="宋体" w:eastAsia="宋体" w:cs="宋体"/>
          <w:color w:val="auto"/>
          <w:sz w:val="24"/>
          <w:szCs w:val="24"/>
          <w:highlight w:val="none"/>
          <w:lang w:val="en-US" w:eastAsia="zh-CN"/>
        </w:rPr>
        <w:t>相关</w:t>
      </w:r>
      <w:r>
        <w:rPr>
          <w:rFonts w:hint="eastAsia" w:ascii="宋体" w:hAnsi="宋体" w:eastAsia="宋体" w:cs="宋体"/>
          <w:color w:val="auto"/>
          <w:sz w:val="24"/>
          <w:szCs w:val="24"/>
          <w:highlight w:val="none"/>
        </w:rPr>
        <w:t>管理服务各项管理办法、规章制度、工作标准，乙方所有员工必须按相关规范操作保证安全生产。</w:t>
      </w:r>
    </w:p>
    <w:p w14:paraId="0465DDAC">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2、乙方在管理期限内须采取标准化措施及严格的分级绩效考核制度，加强项目督导和项目经理、主管培训，确保各项服务处于良好运行状态并实现持续改进。</w:t>
      </w:r>
    </w:p>
    <w:p w14:paraId="74C5E69E">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3、接受甲方主管部门及有关政府部门的监督、指导，每月定期向甲方提交工作总结及持续改进报告。</w:t>
      </w:r>
    </w:p>
    <w:p w14:paraId="39CE6A5F">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4、加强岗前、岗位培训、院感培训，每月至少培训一次。不断提高员工业务能力及理论水平，对所属员工严格监管，严禁员工在院区吸烟、严禁从事售卖物品等非职务性工作。</w:t>
      </w:r>
    </w:p>
    <w:p w14:paraId="53B7FB1F">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5、对公用设施不得擅自占用和改变使用功能，如需改、扩建配套项目，需报甲方和有关部门批准后方可实施。</w:t>
      </w:r>
    </w:p>
    <w:p w14:paraId="617990F3">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6、及时向甲方提交各类重大和突发事件处理报告。</w:t>
      </w:r>
    </w:p>
    <w:p w14:paraId="133CF6D8">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7、因乙方管理原因(不可抗力因素除外)而导致甲方的物业、设备及其他直接损失时，乙方应做出相应赔偿。</w:t>
      </w:r>
    </w:p>
    <w:p w14:paraId="45685826">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8、如合同终止，乙方必须从合同终止日前起 10 天内向甲方移交原委托管理的用房及其各类管理档案等资料。</w:t>
      </w:r>
    </w:p>
    <w:p w14:paraId="5D695C98">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9、通过购买保险等方式，负责承担所属员工的安全、伤病及意外责任。</w:t>
      </w:r>
    </w:p>
    <w:p w14:paraId="5A15B35C">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10、配合医院做好控烟、节能减排、便民服务等工作，节假日及迎接重要检查时，主动安排加班。</w:t>
      </w:r>
    </w:p>
    <w:p w14:paraId="1DD04EAE">
      <w:pPr>
        <w:pStyle w:val="271"/>
        <w:keepNext w:val="0"/>
        <w:keepLines w:val="0"/>
        <w:pageBreakBefore w:val="0"/>
        <w:widowControl w:val="0"/>
        <w:tabs>
          <w:tab w:val="left" w:pos="1909"/>
        </w:tabs>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11、乙方应严格执行《中华人民共和国安全生产法》《中华人民共和国消防法》等相关法律、法规，承担所属管辖范围内相关安全生产及消防安全责任，如因违反相关法律法规或管理不到位引发的安全事故，则应承担相应的法律责任。</w:t>
      </w:r>
    </w:p>
    <w:p w14:paraId="57D9E066">
      <w:pPr>
        <w:pStyle w:val="41"/>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九</w:t>
      </w:r>
      <w:r>
        <w:rPr>
          <w:rFonts w:hint="eastAsia" w:ascii="宋体" w:hAnsi="宋体" w:eastAsia="宋体" w:cs="宋体"/>
          <w:b/>
          <w:bCs/>
          <w:sz w:val="24"/>
          <w:szCs w:val="24"/>
          <w:highlight w:val="none"/>
        </w:rPr>
        <w:t>、质量</w:t>
      </w:r>
    </w:p>
    <w:p w14:paraId="68DE5A30">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乙方提供的服务应符合国家标准、行业标准、乙方承诺及甲方需求。</w:t>
      </w:r>
    </w:p>
    <w:p w14:paraId="6B2D5D57">
      <w:pPr>
        <w:pStyle w:val="41"/>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十</w:t>
      </w:r>
      <w:r>
        <w:rPr>
          <w:rFonts w:hint="eastAsia" w:ascii="宋体" w:hAnsi="宋体" w:eastAsia="宋体" w:cs="宋体"/>
          <w:b/>
          <w:bCs/>
          <w:sz w:val="24"/>
          <w:szCs w:val="24"/>
          <w:highlight w:val="none"/>
        </w:rPr>
        <w:t>、知识产权</w:t>
      </w:r>
    </w:p>
    <w:p w14:paraId="159C4E92">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sz w:val="24"/>
          <w:szCs w:val="24"/>
          <w:highlight w:val="none"/>
        </w:rPr>
      </w:pPr>
      <w:bookmarkStart w:id="124" w:name="_Toc223404485"/>
      <w:r>
        <w:rPr>
          <w:rFonts w:hint="eastAsia" w:ascii="宋体" w:hAnsi="宋体" w:eastAsia="宋体" w:cs="宋体"/>
          <w:sz w:val="24"/>
          <w:szCs w:val="24"/>
          <w:highlight w:val="none"/>
        </w:rPr>
        <w:t>乙方应保证提供甲方的服务及成果以及在使用过程中</w:t>
      </w:r>
      <w:r>
        <w:rPr>
          <w:rFonts w:hint="eastAsia" w:ascii="宋体" w:hAnsi="宋体" w:eastAsia="宋体" w:cs="宋体"/>
          <w:sz w:val="24"/>
          <w:szCs w:val="24"/>
          <w:highlight w:val="none"/>
          <w:lang w:val="zh-CN"/>
        </w:rPr>
        <w:t>不存在任何侵犯他人知识产权（</w:t>
      </w:r>
      <w:r>
        <w:rPr>
          <w:rFonts w:hint="eastAsia" w:ascii="宋体" w:hAnsi="宋体" w:eastAsia="宋体" w:cs="宋体"/>
          <w:sz w:val="24"/>
          <w:szCs w:val="24"/>
          <w:highlight w:val="none"/>
        </w:rPr>
        <w:t>专利、商标、外观设计、著作权等</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或其他权利</w:t>
      </w:r>
      <w:r>
        <w:rPr>
          <w:rFonts w:hint="eastAsia" w:ascii="宋体" w:hAnsi="宋体" w:eastAsia="宋体" w:cs="宋体"/>
          <w:sz w:val="24"/>
          <w:szCs w:val="24"/>
          <w:highlight w:val="none"/>
          <w:lang w:val="zh-CN"/>
        </w:rPr>
        <w:t>的情形；</w:t>
      </w:r>
      <w:r>
        <w:rPr>
          <w:rFonts w:hint="eastAsia" w:ascii="宋体" w:hAnsi="宋体" w:eastAsia="宋体" w:cs="宋体"/>
          <w:sz w:val="24"/>
          <w:szCs w:val="24"/>
          <w:highlight w:val="none"/>
        </w:rPr>
        <w:t>如有第三方为此提出索赔时乙方应进行答复处理，</w:t>
      </w:r>
      <w:r>
        <w:rPr>
          <w:rFonts w:hint="eastAsia" w:ascii="宋体" w:hAnsi="宋体" w:eastAsia="宋体" w:cs="宋体"/>
          <w:sz w:val="24"/>
          <w:szCs w:val="24"/>
          <w:highlight w:val="none"/>
          <w:lang w:val="zh-CN"/>
        </w:rPr>
        <w:t>因此而给甲方造成的</w:t>
      </w:r>
      <w:r>
        <w:rPr>
          <w:rFonts w:hint="eastAsia" w:ascii="宋体" w:hAnsi="宋体" w:eastAsia="宋体" w:cs="宋体"/>
          <w:sz w:val="24"/>
          <w:szCs w:val="24"/>
          <w:highlight w:val="none"/>
        </w:rPr>
        <w:t>全部</w:t>
      </w:r>
      <w:r>
        <w:rPr>
          <w:rFonts w:hint="eastAsia" w:ascii="宋体" w:hAnsi="宋体" w:eastAsia="宋体" w:cs="宋体"/>
          <w:sz w:val="24"/>
          <w:szCs w:val="24"/>
          <w:highlight w:val="none"/>
          <w:lang w:val="zh-CN"/>
        </w:rPr>
        <w:t>损失均由乙方负责赔偿。</w:t>
      </w:r>
    </w:p>
    <w:bookmarkEnd w:id="124"/>
    <w:p w14:paraId="0625678A">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十一</w:t>
      </w:r>
      <w:r>
        <w:rPr>
          <w:rFonts w:hint="eastAsia" w:ascii="宋体" w:hAnsi="宋体" w:eastAsia="宋体" w:cs="宋体"/>
          <w:b/>
          <w:bCs/>
          <w:sz w:val="24"/>
          <w:szCs w:val="24"/>
          <w:highlight w:val="none"/>
        </w:rPr>
        <w:t>、保密义务</w:t>
      </w:r>
    </w:p>
    <w:p w14:paraId="282D59FD">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乙方基于招投标以及签订履行本合同等所获取的甲方的包括但不限于商业秘密、商企信息、网络数据、数据、公民个人信息以及不适宜公开的其他信息，乙方应当依照法律规定和本合同约定进行收集、存储、使用、加工、传输并妥善保管（如需乙方保管或在第三方储存的应事先征得甲方书面同意）。相关设备产生的数据资产，归甲方所有，不得私自变卖或它用。</w:t>
      </w:r>
    </w:p>
    <w:p w14:paraId="14100008">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乙方对上述信息、数据等负有保守秘密的义务，除甲方、相关方事先书面同意，或者法律强制性规定外，乙方不得自用或以任何形式向任何第三方泄露、披露或公开信息、数据等，不得非法收集、保存、使用、加工、传输，不得非法买卖、提供或者公开，不得从事危害国家安全、公共利益、甲方利益的行为。</w:t>
      </w:r>
    </w:p>
    <w:p w14:paraId="7D0A978F">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3、乙方应当采取措施保证其雇员、工作人员、代理商、合作伙伴等遵守本条款承担保密义务，如违反本条款致使甲方承担责任的，乙方应赔偿甲方全部直接和间接损失。</w:t>
      </w:r>
    </w:p>
    <w:p w14:paraId="628328CA">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4、双方均同意甲方不再因此向乙方支付任何费用。</w:t>
      </w:r>
    </w:p>
    <w:p w14:paraId="39172122">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十</w:t>
      </w:r>
      <w:r>
        <w:rPr>
          <w:rFonts w:hint="eastAsia" w:ascii="宋体" w:hAnsi="宋体" w:cs="宋体"/>
          <w:b/>
          <w:bCs/>
          <w:sz w:val="24"/>
          <w:szCs w:val="24"/>
          <w:highlight w:val="none"/>
          <w:lang w:val="en-US" w:eastAsia="zh-CN"/>
        </w:rPr>
        <w:t>二</w:t>
      </w:r>
      <w:r>
        <w:rPr>
          <w:rFonts w:hint="eastAsia" w:ascii="宋体" w:hAnsi="宋体" w:eastAsia="宋体" w:cs="宋体"/>
          <w:b/>
          <w:bCs/>
          <w:sz w:val="24"/>
          <w:szCs w:val="24"/>
          <w:highlight w:val="none"/>
        </w:rPr>
        <w:t>、最惠待遇</w:t>
      </w:r>
    </w:p>
    <w:p w14:paraId="43E98239">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乙方在此承诺，在同等情况下（包括但不限于服务、货物种类、数量、交货方式、交货期限及其它与交易相关之事宜）将以最优惠之价格及条件提供甲方本合同项下产品。乙方在同等情况下提供给任何第三方之货物价格、利益或条件等比提供给甲方更优时，甲方有权要求乙方即依此更优之货物价格、利益或条件等提供货物或退还差价。</w:t>
      </w:r>
    </w:p>
    <w:p w14:paraId="3132A07D">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十</w:t>
      </w:r>
      <w:r>
        <w:rPr>
          <w:rFonts w:hint="eastAsia" w:ascii="宋体" w:hAnsi="宋体" w:cs="宋体"/>
          <w:b/>
          <w:bCs/>
          <w:sz w:val="24"/>
          <w:szCs w:val="24"/>
          <w:highlight w:val="none"/>
          <w:lang w:val="en-US" w:eastAsia="zh-CN"/>
        </w:rPr>
        <w:t>三</w:t>
      </w:r>
      <w:r>
        <w:rPr>
          <w:rFonts w:hint="eastAsia" w:ascii="宋体" w:hAnsi="宋体" w:eastAsia="宋体" w:cs="宋体"/>
          <w:b/>
          <w:bCs/>
          <w:sz w:val="24"/>
          <w:szCs w:val="24"/>
          <w:highlight w:val="none"/>
        </w:rPr>
        <w:t>、违约责任</w:t>
      </w:r>
    </w:p>
    <w:p w14:paraId="2EAC3F36">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1、如乙方未能在服务期内履行合同义务或甲方验收不合格的，每逾期一日乙方按本合同总金额的5‰向甲方支付违约金。</w:t>
      </w:r>
    </w:p>
    <w:p w14:paraId="229C2A10">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2、乙方保证按本合同、其他材料中承诺的服务条款履行服务，每违反一次乙方向甲方支付本合同总金额的5%作为违约金，如违约金不能弥补损失的，乙方还应赔偿相应的损失。</w:t>
      </w:r>
    </w:p>
    <w:p w14:paraId="36900B03">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乙方如违反本合同约定的义务、承诺保证的，甲方有权单方解除合同，乙方应当支付甲方本合同总金额的30%违约金，同时乙方还应赔偿甲方相应的损失和实现债权的费用。乙方应向甲方赔偿各种损失和实现债权的费用包括但不限于：甲方直接或间接损失、可期待利益、罚款、因诉讼等产生的诉讼费、保全费、保全保险或担保费、交通费、律师费、邮寄费、评估费、鉴定费、通讯费等费用。</w:t>
      </w:r>
    </w:p>
    <w:p w14:paraId="0DE708D4">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4、乙方未履行或未完全履行相关义务，甲方有权自行或委托第三方进行服务，发生的费用由乙方承担，甲方有权自向乙方应付款中预扣，同时甲方有权单方解除合同。</w:t>
      </w:r>
    </w:p>
    <w:p w14:paraId="07BE5FF8">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5、乙方违约时，甲方有权自应付款项中预先扣除违约金、损失等款项。</w:t>
      </w:r>
    </w:p>
    <w:p w14:paraId="21D507A0">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6、双方的任何一方由于法律规定的不可抗力的原因，如战争、地震等，不能履行或不能完全履行合同时，应尽快向对方通报理由，互相免予承担违约责任。</w:t>
      </w:r>
    </w:p>
    <w:p w14:paraId="4EBC712B">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7、乙方擅自终止或解除本合同，乙方按本合同总金额的30%向甲方支付违约金。如违约金不能弥补甲方损失的乙方还应赔偿全部损失。</w:t>
      </w:r>
    </w:p>
    <w:p w14:paraId="2A556A47">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8、如因乙方提供的服务导致甲方或第三方受损的，乙方应当承担责任并赔偿。</w:t>
      </w:r>
    </w:p>
    <w:p w14:paraId="70C7E005">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十</w:t>
      </w:r>
      <w:r>
        <w:rPr>
          <w:rFonts w:hint="eastAsia" w:ascii="宋体" w:hAnsi="宋体" w:cs="宋体"/>
          <w:b/>
          <w:bCs/>
          <w:sz w:val="24"/>
          <w:szCs w:val="24"/>
          <w:highlight w:val="none"/>
          <w:lang w:val="en-US" w:eastAsia="zh-CN"/>
        </w:rPr>
        <w:t>四</w:t>
      </w:r>
      <w:r>
        <w:rPr>
          <w:rFonts w:hint="eastAsia" w:ascii="宋体" w:hAnsi="宋体" w:eastAsia="宋体" w:cs="宋体"/>
          <w:b/>
          <w:bCs/>
          <w:sz w:val="24"/>
          <w:szCs w:val="24"/>
          <w:highlight w:val="none"/>
        </w:rPr>
        <w:t>、争议的解决</w:t>
      </w:r>
    </w:p>
    <w:p w14:paraId="4BF9797E">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因履行本合同发生争议的，由双方友好协商解决；如协商不成，双方同意向甲方所在地有管辖权的人民法院起诉。</w:t>
      </w:r>
    </w:p>
    <w:p w14:paraId="76DAADFB">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十</w:t>
      </w:r>
      <w:r>
        <w:rPr>
          <w:rFonts w:hint="eastAsia" w:ascii="宋体" w:hAnsi="宋体" w:cs="宋体"/>
          <w:b/>
          <w:bCs/>
          <w:sz w:val="24"/>
          <w:szCs w:val="24"/>
          <w:highlight w:val="none"/>
          <w:lang w:val="en-US" w:eastAsia="zh-CN"/>
        </w:rPr>
        <w:t>五</w:t>
      </w:r>
      <w:r>
        <w:rPr>
          <w:rFonts w:hint="eastAsia" w:ascii="宋体" w:hAnsi="宋体" w:eastAsia="宋体" w:cs="宋体"/>
          <w:b/>
          <w:bCs/>
          <w:sz w:val="24"/>
          <w:szCs w:val="24"/>
          <w:highlight w:val="none"/>
        </w:rPr>
        <w:t>、其它</w:t>
      </w:r>
    </w:p>
    <w:p w14:paraId="7DFBA99C">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本合同底部甲、乙双方的地址为双方联系的唯一固定通讯地址，若在履行本合同过程中双方有任何争议，甚至涉及仲裁和诉讼时，该地址为双方法定送达地址。若其中一方通讯地址发生变化，应立即书面通知另外一方。否则，寄送到本合同约定的地址即为送达。</w:t>
      </w:r>
    </w:p>
    <w:p w14:paraId="21A84ACD">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(1)中标后乙方须提供所有人员与本单位签订的劳动合同及保险的证明;(2)乙方所有人员须满足相关要求，中标后经甲方面试，不合格者无条件更换，直至满足甲方要求。(3)乙方现场人员所发生的工伤、意外等一切风险由乙方自己负责，甲方不承担任何责任</w:t>
      </w:r>
      <w:r>
        <w:rPr>
          <w:rFonts w:hint="eastAsia" w:ascii="宋体" w:hAnsi="宋体" w:eastAsia="宋体" w:cs="宋体"/>
          <w:sz w:val="24"/>
          <w:szCs w:val="24"/>
          <w:highlight w:val="none"/>
        </w:rPr>
        <w:t>。</w:t>
      </w:r>
    </w:p>
    <w:p w14:paraId="7807ADB6">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仿宋_GB2312" w:hAnsi="宋体" w:eastAsia="仿宋_GB2312"/>
          <w:sz w:val="24"/>
          <w:szCs w:val="24"/>
          <w:highlight w:val="none"/>
          <w:lang w:val="en-US" w:eastAsia="zh-CN"/>
        </w:rPr>
        <w:t>3、</w:t>
      </w:r>
      <w:r>
        <w:rPr>
          <w:rFonts w:hint="eastAsia" w:ascii="宋体" w:hAnsi="宋体" w:eastAsia="宋体" w:cs="宋体"/>
          <w:sz w:val="24"/>
          <w:szCs w:val="24"/>
          <w:highlight w:val="none"/>
        </w:rPr>
        <w:t>甲方指定</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（电话号码：</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）为联系人。乙方指定</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（电话号码：</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）为联系人，负责接收甲方的通知、决定等，甲方的通知、决定等联系人收到视为乙方收到。</w:t>
      </w:r>
    </w:p>
    <w:p w14:paraId="62D60E1E">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sz w:val="24"/>
          <w:szCs w:val="24"/>
          <w:highlight w:val="none"/>
          <w:u w:val="single"/>
        </w:rPr>
      </w:pPr>
      <w:r>
        <w:rPr>
          <w:rFonts w:hint="eastAsia" w:ascii="宋体" w:hAnsi="宋体" w:cs="宋体"/>
          <w:b/>
          <w:sz w:val="24"/>
          <w:szCs w:val="24"/>
          <w:highlight w:val="none"/>
          <w:u w:val="single"/>
          <w:lang w:val="en-US" w:eastAsia="zh-CN"/>
        </w:rPr>
        <w:t>4</w:t>
      </w:r>
      <w:r>
        <w:rPr>
          <w:rFonts w:hint="eastAsia" w:ascii="宋体" w:hAnsi="宋体" w:eastAsia="宋体" w:cs="宋体"/>
          <w:b/>
          <w:sz w:val="24"/>
          <w:szCs w:val="24"/>
          <w:highlight w:val="none"/>
          <w:u w:val="single"/>
        </w:rPr>
        <w:t>、本合同订立是遵循公平原则确定双方之间的权利和义务,乙方认可甲方已采取合理的方式提示乙方注意免除或者减轻甲方责任、与乙方有重大利害关系的条款,且甲方已按照乙方的要求对该条款予以说明，乙方是在充分理解、自愿接受的前提下签署合同。</w:t>
      </w:r>
    </w:p>
    <w:p w14:paraId="6358D8B1">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、本合同一式柒份，甲方伍份，乙方壹份，代理公司壹份。</w:t>
      </w:r>
    </w:p>
    <w:p w14:paraId="00C9D97C">
      <w:pPr>
        <w:autoSpaceDE w:val="0"/>
        <w:autoSpaceDN w:val="0"/>
        <w:spacing w:line="360" w:lineRule="auto"/>
        <w:ind w:firstLine="480"/>
        <w:rPr>
          <w:rFonts w:hint="default" w:ascii="仿宋" w:hAnsi="仿宋" w:eastAsia="仿宋" w:cs="仿宋"/>
          <w:highlight w:val="none"/>
        </w:rPr>
      </w:pPr>
    </w:p>
    <w:p w14:paraId="68936636">
      <w:pPr>
        <w:pStyle w:val="30"/>
        <w:rPr>
          <w:rFonts w:hint="default"/>
          <w:highlight w:val="none"/>
        </w:rPr>
      </w:pPr>
    </w:p>
    <w:tbl>
      <w:tblPr>
        <w:tblStyle w:val="75"/>
        <w:tblpPr w:leftFromText="180" w:rightFromText="180" w:vertAnchor="text" w:horzAnchor="page" w:tblpX="1467" w:tblpY="315"/>
        <w:tblOverlap w:val="never"/>
        <w:tblW w:w="10018" w:type="dxa"/>
        <w:tblInd w:w="0" w:type="dxa"/>
        <w:tblLayout w:type="fixed"/>
        <w:tblCellMar>
          <w:top w:w="0" w:type="dxa"/>
          <w:left w:w="108" w:type="dxa"/>
          <w:bottom w:w="0" w:type="dxa"/>
          <w:right w:w="108" w:type="dxa"/>
        </w:tblCellMar>
      </w:tblPr>
      <w:tblGrid>
        <w:gridCol w:w="4575"/>
        <w:gridCol w:w="240"/>
        <w:gridCol w:w="5203"/>
      </w:tblGrid>
      <w:tr w14:paraId="4503B16F">
        <w:tblPrEx>
          <w:tblCellMar>
            <w:top w:w="0" w:type="dxa"/>
            <w:left w:w="108" w:type="dxa"/>
            <w:bottom w:w="0" w:type="dxa"/>
            <w:right w:w="108" w:type="dxa"/>
          </w:tblCellMar>
        </w:tblPrEx>
        <w:trPr>
          <w:trHeight w:val="742" w:hRule="atLeast"/>
        </w:trPr>
        <w:tc>
          <w:tcPr>
            <w:tcW w:w="4575" w:type="dxa"/>
            <w:noWrap w:val="0"/>
            <w:vAlign w:val="center"/>
          </w:tcPr>
          <w:p w14:paraId="049A5066">
            <w:pPr>
              <w:spacing w:after="12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甲方：泰安市中心医院（青岛大学附属泰安市中心医院、泰山医养中心） </w:t>
            </w:r>
          </w:p>
        </w:tc>
        <w:tc>
          <w:tcPr>
            <w:tcW w:w="240" w:type="dxa"/>
            <w:noWrap w:val="0"/>
            <w:vAlign w:val="center"/>
          </w:tcPr>
          <w:p w14:paraId="76ED9F97">
            <w:pPr>
              <w:spacing w:line="360" w:lineRule="auto"/>
              <w:ind w:left="-2" w:leftChars="-1"/>
              <w:rPr>
                <w:rFonts w:hint="eastAsia" w:ascii="宋体" w:hAnsi="宋体" w:eastAsia="宋体" w:cs="宋体"/>
                <w:color w:val="000000"/>
                <w:sz w:val="24"/>
                <w:szCs w:val="24"/>
                <w:highlight w:val="none"/>
              </w:rPr>
            </w:pPr>
          </w:p>
        </w:tc>
        <w:tc>
          <w:tcPr>
            <w:tcW w:w="5203" w:type="dxa"/>
            <w:noWrap w:val="0"/>
            <w:vAlign w:val="center"/>
          </w:tcPr>
          <w:p w14:paraId="04D2401E">
            <w:pPr>
              <w:spacing w:after="12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w:t>
            </w:r>
          </w:p>
        </w:tc>
      </w:tr>
      <w:tr w14:paraId="44ED32D5">
        <w:tblPrEx>
          <w:tblCellMar>
            <w:top w:w="0" w:type="dxa"/>
            <w:left w:w="108" w:type="dxa"/>
            <w:bottom w:w="0" w:type="dxa"/>
            <w:right w:w="108" w:type="dxa"/>
          </w:tblCellMar>
        </w:tblPrEx>
        <w:trPr>
          <w:trHeight w:val="742" w:hRule="atLeast"/>
        </w:trPr>
        <w:tc>
          <w:tcPr>
            <w:tcW w:w="4575" w:type="dxa"/>
            <w:noWrap w:val="0"/>
            <w:vAlign w:val="center"/>
          </w:tcPr>
          <w:p w14:paraId="17027210">
            <w:pPr>
              <w:spacing w:after="12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w:t>
            </w:r>
            <w:r>
              <w:rPr>
                <w:rFonts w:hint="eastAsia" w:ascii="宋体" w:hAnsi="宋体" w:eastAsia="宋体" w:cs="宋体"/>
                <w:color w:val="000000"/>
                <w:sz w:val="24"/>
                <w:szCs w:val="24"/>
                <w:highlight w:val="none"/>
                <w:lang w:val="zh-CN"/>
              </w:rPr>
              <w:t>泰安市龙潭路24号</w:t>
            </w:r>
          </w:p>
        </w:tc>
        <w:tc>
          <w:tcPr>
            <w:tcW w:w="240" w:type="dxa"/>
            <w:noWrap w:val="0"/>
            <w:vAlign w:val="center"/>
          </w:tcPr>
          <w:p w14:paraId="0BD94284">
            <w:pPr>
              <w:spacing w:line="360" w:lineRule="auto"/>
              <w:ind w:left="-2" w:leftChars="-1"/>
              <w:rPr>
                <w:rFonts w:hint="eastAsia" w:ascii="宋体" w:hAnsi="宋体" w:eastAsia="宋体" w:cs="宋体"/>
                <w:color w:val="000000"/>
                <w:sz w:val="24"/>
                <w:szCs w:val="24"/>
                <w:highlight w:val="none"/>
              </w:rPr>
            </w:pPr>
          </w:p>
        </w:tc>
        <w:tc>
          <w:tcPr>
            <w:tcW w:w="5203" w:type="dxa"/>
            <w:noWrap w:val="0"/>
            <w:vAlign w:val="center"/>
          </w:tcPr>
          <w:p w14:paraId="78116A10">
            <w:pPr>
              <w:spacing w:after="12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w:t>
            </w:r>
          </w:p>
        </w:tc>
      </w:tr>
      <w:tr w14:paraId="793D732B">
        <w:tblPrEx>
          <w:tblCellMar>
            <w:top w:w="0" w:type="dxa"/>
            <w:left w:w="108" w:type="dxa"/>
            <w:bottom w:w="0" w:type="dxa"/>
            <w:right w:w="108" w:type="dxa"/>
          </w:tblCellMar>
        </w:tblPrEx>
        <w:trPr>
          <w:trHeight w:val="742" w:hRule="atLeast"/>
        </w:trPr>
        <w:tc>
          <w:tcPr>
            <w:tcW w:w="4575" w:type="dxa"/>
            <w:noWrap w:val="0"/>
            <w:vAlign w:val="center"/>
          </w:tcPr>
          <w:p w14:paraId="4C9953C3">
            <w:pPr>
              <w:spacing w:after="12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 话：</w:t>
            </w:r>
            <w:r>
              <w:rPr>
                <w:rFonts w:hint="eastAsia" w:ascii="宋体" w:hAnsi="宋体" w:eastAsia="宋体" w:cs="宋体"/>
                <w:sz w:val="24"/>
                <w:highlight w:val="none"/>
                <w:lang w:val="zh-CN"/>
              </w:rPr>
              <w:t>0538-629822</w:t>
            </w:r>
            <w:r>
              <w:rPr>
                <w:rFonts w:hint="eastAsia" w:ascii="宋体" w:hAnsi="宋体" w:eastAsia="宋体" w:cs="宋体"/>
                <w:sz w:val="24"/>
                <w:highlight w:val="none"/>
              </w:rPr>
              <w:t>1</w:t>
            </w:r>
          </w:p>
        </w:tc>
        <w:tc>
          <w:tcPr>
            <w:tcW w:w="240" w:type="dxa"/>
            <w:noWrap w:val="0"/>
            <w:vAlign w:val="center"/>
          </w:tcPr>
          <w:p w14:paraId="1437C2EF">
            <w:pPr>
              <w:spacing w:after="120"/>
              <w:rPr>
                <w:rFonts w:hint="eastAsia" w:ascii="宋体" w:hAnsi="宋体" w:eastAsia="宋体" w:cs="宋体"/>
                <w:color w:val="000000"/>
                <w:sz w:val="24"/>
                <w:szCs w:val="24"/>
                <w:highlight w:val="none"/>
              </w:rPr>
            </w:pPr>
          </w:p>
        </w:tc>
        <w:tc>
          <w:tcPr>
            <w:tcW w:w="5203" w:type="dxa"/>
            <w:noWrap w:val="0"/>
            <w:vAlign w:val="center"/>
          </w:tcPr>
          <w:p w14:paraId="6A6CD164">
            <w:pPr>
              <w:spacing w:after="12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 话：</w:t>
            </w:r>
          </w:p>
        </w:tc>
      </w:tr>
      <w:tr w14:paraId="49F40A43">
        <w:tblPrEx>
          <w:tblCellMar>
            <w:top w:w="0" w:type="dxa"/>
            <w:left w:w="108" w:type="dxa"/>
            <w:bottom w:w="0" w:type="dxa"/>
            <w:right w:w="108" w:type="dxa"/>
          </w:tblCellMar>
        </w:tblPrEx>
        <w:trPr>
          <w:trHeight w:val="742" w:hRule="atLeast"/>
        </w:trPr>
        <w:tc>
          <w:tcPr>
            <w:tcW w:w="4575" w:type="dxa"/>
            <w:noWrap w:val="0"/>
            <w:vAlign w:val="center"/>
          </w:tcPr>
          <w:p w14:paraId="2B02C5EE">
            <w:pPr>
              <w:spacing w:after="12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法定代表人或其委托代理人：</w:t>
            </w:r>
          </w:p>
          <w:p w14:paraId="3CC060B2">
            <w:pPr>
              <w:spacing w:after="12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（签字或盖章）</w:t>
            </w:r>
          </w:p>
        </w:tc>
        <w:tc>
          <w:tcPr>
            <w:tcW w:w="240" w:type="dxa"/>
            <w:noWrap w:val="0"/>
            <w:vAlign w:val="center"/>
          </w:tcPr>
          <w:p w14:paraId="6A568798">
            <w:pPr>
              <w:spacing w:after="120"/>
              <w:rPr>
                <w:rFonts w:hint="eastAsia" w:ascii="宋体" w:hAnsi="宋体" w:eastAsia="宋体" w:cs="宋体"/>
                <w:color w:val="000000"/>
                <w:sz w:val="24"/>
                <w:szCs w:val="24"/>
                <w:highlight w:val="none"/>
              </w:rPr>
            </w:pPr>
          </w:p>
        </w:tc>
        <w:tc>
          <w:tcPr>
            <w:tcW w:w="5203" w:type="dxa"/>
            <w:noWrap w:val="0"/>
            <w:vAlign w:val="center"/>
          </w:tcPr>
          <w:p w14:paraId="4B3386E1">
            <w:pPr>
              <w:spacing w:after="12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法定代表人或其委托代理人：</w:t>
            </w:r>
          </w:p>
          <w:p w14:paraId="53881E5B">
            <w:pPr>
              <w:spacing w:after="12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（签字或盖章）</w:t>
            </w:r>
          </w:p>
        </w:tc>
      </w:tr>
      <w:tr w14:paraId="200C1B7A">
        <w:tblPrEx>
          <w:tblCellMar>
            <w:top w:w="0" w:type="dxa"/>
            <w:left w:w="108" w:type="dxa"/>
            <w:bottom w:w="0" w:type="dxa"/>
            <w:right w:w="108" w:type="dxa"/>
          </w:tblCellMar>
        </w:tblPrEx>
        <w:trPr>
          <w:trHeight w:val="742" w:hRule="atLeast"/>
        </w:trPr>
        <w:tc>
          <w:tcPr>
            <w:tcW w:w="10018" w:type="dxa"/>
            <w:gridSpan w:val="3"/>
            <w:noWrap w:val="0"/>
            <w:vAlign w:val="center"/>
          </w:tcPr>
          <w:p w14:paraId="027F8579">
            <w:pPr>
              <w:spacing w:after="120"/>
              <w:ind w:firstLine="2640" w:firstLineChars="1100"/>
              <w:rPr>
                <w:rFonts w:hint="eastAsia" w:ascii="宋体" w:hAnsi="宋体" w:eastAsia="宋体" w:cs="宋体"/>
                <w:color w:val="000000"/>
                <w:sz w:val="24"/>
                <w:szCs w:val="24"/>
                <w:highlight w:val="none"/>
              </w:rPr>
            </w:pPr>
          </w:p>
          <w:p w14:paraId="57293CB4">
            <w:pPr>
              <w:spacing w:after="120"/>
              <w:ind w:firstLine="2640" w:firstLineChars="1100"/>
              <w:rPr>
                <w:rFonts w:hint="eastAsia" w:ascii="宋体" w:hAnsi="宋体" w:eastAsia="宋体" w:cs="宋体"/>
                <w:color w:val="000000"/>
                <w:sz w:val="24"/>
                <w:szCs w:val="24"/>
                <w:highlight w:val="none"/>
              </w:rPr>
            </w:pPr>
          </w:p>
          <w:p w14:paraId="600FC29B">
            <w:pPr>
              <w:spacing w:after="120"/>
              <w:ind w:firstLine="3360" w:firstLineChars="14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签订日期</w:t>
            </w:r>
            <w:r>
              <w:rPr>
                <w:rFonts w:hint="eastAsia" w:ascii="宋体" w:hAnsi="宋体" w:eastAsia="宋体" w:cs="宋体"/>
                <w:color w:val="000000"/>
                <w:sz w:val="24"/>
                <w:szCs w:val="24"/>
                <w:highlight w:val="none"/>
                <w:lang w:val="en-US" w:eastAsia="zh-CN"/>
              </w:rPr>
              <w:t xml:space="preserve"> ：202</w:t>
            </w:r>
            <w:r>
              <w:rPr>
                <w:rFonts w:hint="eastAsia" w:ascii="宋体" w:hAnsi="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年   月  日</w:t>
            </w:r>
          </w:p>
        </w:tc>
      </w:tr>
    </w:tbl>
    <w:p w14:paraId="317983EC">
      <w:pPr>
        <w:rPr>
          <w:rFonts w:hint="eastAsia" w:ascii="宋体" w:hAnsi="宋体"/>
          <w:kern w:val="2"/>
          <w:sz w:val="32"/>
          <w:highlight w:val="none"/>
        </w:rPr>
      </w:pPr>
      <w:r>
        <w:rPr>
          <w:rFonts w:hint="eastAsia" w:ascii="宋体" w:hAnsi="宋体"/>
          <w:kern w:val="2"/>
          <w:sz w:val="32"/>
          <w:highlight w:val="none"/>
        </w:rPr>
        <w:br w:type="page"/>
      </w:r>
    </w:p>
    <w:p w14:paraId="0327481C">
      <w:pPr>
        <w:pStyle w:val="2"/>
        <w:spacing w:before="120" w:after="120" w:line="360" w:lineRule="auto"/>
        <w:jc w:val="center"/>
        <w:rPr>
          <w:rFonts w:ascii="宋体" w:hAnsi="宋体"/>
          <w:kern w:val="2"/>
          <w:sz w:val="32"/>
          <w:highlight w:val="none"/>
        </w:rPr>
      </w:pPr>
      <w:bookmarkStart w:id="125" w:name="_Toc7393"/>
      <w:r>
        <w:rPr>
          <w:rFonts w:hint="eastAsia" w:ascii="宋体" w:hAnsi="宋体"/>
          <w:kern w:val="2"/>
          <w:sz w:val="32"/>
          <w:highlight w:val="none"/>
        </w:rPr>
        <w:t>第六章  附件（投标文件格式）</w:t>
      </w:r>
      <w:bookmarkEnd w:id="125"/>
    </w:p>
    <w:p w14:paraId="1109E3E1">
      <w:pPr>
        <w:pStyle w:val="4"/>
        <w:spacing w:before="120" w:after="120" w:line="360" w:lineRule="auto"/>
        <w:rPr>
          <w:rFonts w:ascii="宋体" w:hAnsi="宋体"/>
          <w:b w:val="0"/>
          <w:bCs/>
          <w:sz w:val="24"/>
          <w:szCs w:val="21"/>
          <w:highlight w:val="none"/>
        </w:rPr>
      </w:pPr>
      <w:bookmarkStart w:id="126" w:name="_Toc1303"/>
      <w:r>
        <w:rPr>
          <w:rFonts w:hint="eastAsia" w:ascii="宋体" w:hAnsi="宋体"/>
          <w:b w:val="0"/>
          <w:sz w:val="24"/>
          <w:szCs w:val="21"/>
          <w:highlight w:val="none"/>
        </w:rPr>
        <w:t>附件一：投标函</w:t>
      </w:r>
      <w:bookmarkEnd w:id="126"/>
    </w:p>
    <w:p w14:paraId="0922D8CC">
      <w:pPr>
        <w:pStyle w:val="30"/>
        <w:spacing w:after="0" w:line="360" w:lineRule="auto"/>
        <w:jc w:val="center"/>
        <w:rPr>
          <w:rFonts w:ascii="宋体" w:hAnsi="宋体"/>
          <w:b/>
          <w:sz w:val="32"/>
          <w:highlight w:val="none"/>
        </w:rPr>
      </w:pPr>
      <w:r>
        <w:rPr>
          <w:rFonts w:hint="eastAsia" w:ascii="宋体" w:hAnsi="宋体"/>
          <w:b/>
          <w:sz w:val="32"/>
          <w:highlight w:val="none"/>
        </w:rPr>
        <w:t>投标函</w:t>
      </w:r>
    </w:p>
    <w:p w14:paraId="2F3D5685">
      <w:pPr>
        <w:pStyle w:val="30"/>
        <w:spacing w:after="0" w:line="360" w:lineRule="auto"/>
        <w:rPr>
          <w:rFonts w:ascii="宋体" w:hAnsi="宋体"/>
          <w:highlight w:val="none"/>
          <w:u w:val="single"/>
        </w:rPr>
      </w:pPr>
      <w:r>
        <w:rPr>
          <w:rFonts w:hint="eastAsia" w:ascii="宋体" w:hAnsi="宋体"/>
          <w:highlight w:val="none"/>
          <w:u w:val="single"/>
          <w:lang w:val="en-US" w:eastAsia="zh-CN"/>
        </w:rPr>
        <w:t xml:space="preserve">              （招标人）</w:t>
      </w:r>
      <w:r>
        <w:rPr>
          <w:rFonts w:hint="eastAsia" w:ascii="宋体" w:hAnsi="宋体"/>
          <w:highlight w:val="none"/>
          <w:u w:val="single"/>
        </w:rPr>
        <w:t>：</w:t>
      </w:r>
    </w:p>
    <w:p w14:paraId="183CD328">
      <w:pPr>
        <w:pStyle w:val="30"/>
        <w:spacing w:after="0" w:line="360" w:lineRule="auto"/>
        <w:ind w:left="-2" w:firstLine="480"/>
        <w:rPr>
          <w:rFonts w:hint="eastAsia" w:ascii="宋体" w:hAnsi="宋体"/>
          <w:highlight w:val="none"/>
        </w:rPr>
      </w:pPr>
      <w:r>
        <w:rPr>
          <w:rFonts w:hint="eastAsia" w:ascii="宋体" w:hAnsi="宋体"/>
          <w:highlight w:val="none"/>
        </w:rPr>
        <w:t xml:space="preserve"> </w:t>
      </w:r>
      <w:r>
        <w:rPr>
          <w:rFonts w:hint="eastAsia" w:ascii="宋体" w:hAnsi="宋体"/>
          <w:highlight w:val="none"/>
          <w:u w:val="single"/>
        </w:rPr>
        <w:t>（投标人名称）</w:t>
      </w:r>
      <w:r>
        <w:rPr>
          <w:rFonts w:hint="eastAsia" w:ascii="宋体" w:hAnsi="宋体"/>
          <w:highlight w:val="none"/>
        </w:rPr>
        <w:t>系中华人民共和国合法企业，经营地址</w:t>
      </w:r>
      <w:r>
        <w:rPr>
          <w:rFonts w:hint="eastAsia" w:ascii="宋体" w:hAnsi="宋体"/>
          <w:highlight w:val="none"/>
          <w:u w:val="single"/>
          <w:lang w:val="en-US" w:eastAsia="zh-CN"/>
        </w:rPr>
        <w:t xml:space="preserve">      </w:t>
      </w:r>
      <w:r>
        <w:rPr>
          <w:rFonts w:hint="eastAsia" w:ascii="宋体" w:hAnsi="宋体"/>
          <w:highlight w:val="none"/>
        </w:rPr>
        <w:t>。</w:t>
      </w:r>
    </w:p>
    <w:p w14:paraId="13B5355D">
      <w:pPr>
        <w:pStyle w:val="30"/>
        <w:spacing w:after="0" w:line="360" w:lineRule="auto"/>
        <w:ind w:left="-2" w:firstLine="480"/>
        <w:rPr>
          <w:rFonts w:hint="eastAsia" w:ascii="宋体" w:hAnsi="宋体"/>
          <w:highlight w:val="none"/>
        </w:rPr>
      </w:pPr>
      <w:r>
        <w:rPr>
          <w:rFonts w:hint="eastAsia" w:ascii="宋体" w:hAnsi="宋体"/>
          <w:highlight w:val="none"/>
        </w:rPr>
        <w:t>我</w:t>
      </w:r>
      <w:r>
        <w:rPr>
          <w:rFonts w:hint="eastAsia" w:ascii="宋体" w:hAnsi="宋体"/>
          <w:highlight w:val="none"/>
          <w:u w:val="single"/>
        </w:rPr>
        <w:t>（姓名）</w:t>
      </w:r>
      <w:r>
        <w:rPr>
          <w:rFonts w:hint="eastAsia" w:ascii="宋体" w:hAnsi="宋体"/>
          <w:highlight w:val="none"/>
          <w:u w:val="single"/>
          <w:lang w:val="en-US" w:eastAsia="zh-CN"/>
        </w:rPr>
        <w:t xml:space="preserve">  </w:t>
      </w:r>
      <w:r>
        <w:rPr>
          <w:rFonts w:hint="eastAsia" w:ascii="宋体" w:hAnsi="宋体"/>
          <w:highlight w:val="none"/>
        </w:rPr>
        <w:t>系</w:t>
      </w:r>
      <w:r>
        <w:rPr>
          <w:rFonts w:hint="eastAsia" w:ascii="宋体" w:hAnsi="宋体"/>
          <w:highlight w:val="none"/>
          <w:u w:val="single"/>
        </w:rPr>
        <w:t>（投标人名称）</w:t>
      </w:r>
      <w:r>
        <w:rPr>
          <w:rFonts w:hint="eastAsia" w:ascii="宋体" w:hAnsi="宋体"/>
          <w:highlight w:val="none"/>
          <w:u w:val="single"/>
          <w:lang w:val="en-US" w:eastAsia="zh-CN"/>
        </w:rPr>
        <w:t xml:space="preserve">   </w:t>
      </w:r>
      <w:r>
        <w:rPr>
          <w:rFonts w:hint="eastAsia" w:ascii="宋体" w:hAnsi="宋体"/>
          <w:highlight w:val="none"/>
        </w:rPr>
        <w:t>的法定代表人，我方自愿参加贵方组织的</w:t>
      </w:r>
      <w:r>
        <w:rPr>
          <w:rFonts w:hint="eastAsia" w:ascii="宋体" w:hAnsi="宋体"/>
          <w:highlight w:val="none"/>
          <w:u w:val="single"/>
        </w:rPr>
        <w:t>（招标项目名称）（编号为）</w:t>
      </w:r>
      <w:r>
        <w:rPr>
          <w:rFonts w:hint="eastAsia" w:ascii="宋体" w:hAnsi="宋体"/>
          <w:highlight w:val="none"/>
        </w:rPr>
        <w:t>的投标，为此，我方就本次投标有关事项郑重声明如下：</w:t>
      </w:r>
    </w:p>
    <w:p w14:paraId="2A6F874B">
      <w:pPr>
        <w:pStyle w:val="30"/>
        <w:spacing w:after="0" w:line="360" w:lineRule="auto"/>
        <w:ind w:left="-2" w:firstLine="480"/>
        <w:rPr>
          <w:rFonts w:hint="eastAsia" w:ascii="宋体" w:hAnsi="宋体"/>
          <w:highlight w:val="none"/>
        </w:rPr>
      </w:pPr>
      <w:r>
        <w:rPr>
          <w:rFonts w:hint="eastAsia" w:ascii="宋体" w:hAnsi="宋体"/>
          <w:highlight w:val="none"/>
        </w:rPr>
        <w:t>1、我方已详细审阅全部招标文件，同意招标文件的各项要求。</w:t>
      </w:r>
    </w:p>
    <w:p w14:paraId="76396FAD">
      <w:pPr>
        <w:pStyle w:val="30"/>
        <w:spacing w:after="0" w:line="360" w:lineRule="auto"/>
        <w:ind w:left="-2" w:firstLine="480"/>
        <w:rPr>
          <w:rFonts w:hint="eastAsia" w:ascii="宋体" w:hAnsi="宋体"/>
          <w:highlight w:val="none"/>
        </w:rPr>
      </w:pPr>
      <w:r>
        <w:rPr>
          <w:rFonts w:hint="eastAsia" w:ascii="宋体" w:hAnsi="宋体"/>
          <w:highlight w:val="none"/>
        </w:rPr>
        <w:t>2、我方向贵方提交的所有投标文件、资料都是准确的和真实的。</w:t>
      </w:r>
    </w:p>
    <w:p w14:paraId="1E0A5AE0">
      <w:pPr>
        <w:pStyle w:val="30"/>
        <w:spacing w:after="0" w:line="360" w:lineRule="auto"/>
        <w:ind w:left="-2" w:firstLine="480"/>
        <w:rPr>
          <w:rFonts w:hint="eastAsia" w:ascii="宋体" w:hAnsi="宋体"/>
          <w:highlight w:val="none"/>
        </w:rPr>
      </w:pPr>
      <w:r>
        <w:rPr>
          <w:rFonts w:hint="eastAsia" w:ascii="宋体" w:hAnsi="宋体"/>
          <w:highlight w:val="none"/>
        </w:rPr>
        <w:t>3、若中标，我方将按照招标文件和投标文件的规定履行合同。</w:t>
      </w:r>
    </w:p>
    <w:p w14:paraId="4785D9AF">
      <w:pPr>
        <w:pStyle w:val="30"/>
        <w:spacing w:after="0" w:line="360" w:lineRule="auto"/>
        <w:ind w:left="-2" w:firstLine="480"/>
        <w:rPr>
          <w:rFonts w:hint="eastAsia" w:ascii="宋体" w:hAnsi="宋体"/>
          <w:highlight w:val="none"/>
        </w:rPr>
      </w:pPr>
      <w:r>
        <w:rPr>
          <w:rFonts w:hint="eastAsia" w:ascii="宋体" w:hAnsi="宋体"/>
          <w:highlight w:val="none"/>
        </w:rPr>
        <w:t>4、我方不是招标人的附属机构；在获知本项目采购信息后，与招标人聘请的为此项目提供咨询服务的公司以及其附属机构没有任何关系。</w:t>
      </w:r>
    </w:p>
    <w:p w14:paraId="19D0A014">
      <w:pPr>
        <w:pStyle w:val="30"/>
        <w:spacing w:after="0" w:line="360" w:lineRule="auto"/>
        <w:ind w:left="-2" w:firstLine="480"/>
        <w:rPr>
          <w:rFonts w:hint="eastAsia" w:ascii="宋体" w:hAnsi="宋体"/>
          <w:highlight w:val="none"/>
        </w:rPr>
      </w:pPr>
      <w:r>
        <w:rPr>
          <w:rFonts w:hint="eastAsia" w:ascii="宋体" w:hAnsi="宋体"/>
          <w:highlight w:val="none"/>
        </w:rPr>
        <w:t>5、投标文件自投标截止之日起投标有效期为</w:t>
      </w:r>
      <w:r>
        <w:rPr>
          <w:rFonts w:hint="eastAsia" w:ascii="宋体" w:hAnsi="宋体"/>
          <w:highlight w:val="none"/>
          <w:u w:val="single"/>
          <w:lang w:val="en-US" w:eastAsia="zh-CN"/>
        </w:rPr>
        <w:t xml:space="preserve">        </w:t>
      </w:r>
      <w:r>
        <w:rPr>
          <w:rFonts w:hint="eastAsia" w:ascii="宋体" w:hAnsi="宋体"/>
          <w:highlight w:val="none"/>
        </w:rPr>
        <w:t>日历日。</w:t>
      </w:r>
    </w:p>
    <w:p w14:paraId="26E4E3C0">
      <w:pPr>
        <w:pStyle w:val="30"/>
        <w:spacing w:after="0" w:line="360" w:lineRule="auto"/>
        <w:ind w:left="-2" w:firstLine="480"/>
        <w:rPr>
          <w:rFonts w:ascii="宋体" w:hAnsi="宋体"/>
          <w:highlight w:val="none"/>
        </w:rPr>
      </w:pPr>
      <w:r>
        <w:rPr>
          <w:rFonts w:hint="eastAsia" w:ascii="宋体" w:hAnsi="宋体"/>
          <w:highlight w:val="none"/>
        </w:rPr>
        <w:t>以上事项如有虚假或者隐瞒，我方愿意承担一切后果：</w:t>
      </w:r>
    </w:p>
    <w:p w14:paraId="33A4E26D">
      <w:pPr>
        <w:pStyle w:val="30"/>
        <w:spacing w:after="0" w:line="360" w:lineRule="auto"/>
        <w:ind w:left="571" w:leftChars="272" w:firstLine="382"/>
        <w:rPr>
          <w:rFonts w:ascii="宋体" w:hAnsi="宋体"/>
          <w:highlight w:val="none"/>
        </w:rPr>
      </w:pPr>
    </w:p>
    <w:p w14:paraId="182387AB">
      <w:pPr>
        <w:pStyle w:val="30"/>
        <w:spacing w:after="0" w:line="360" w:lineRule="auto"/>
        <w:ind w:left="571" w:leftChars="272" w:firstLine="382"/>
        <w:rPr>
          <w:rFonts w:hint="eastAsia" w:ascii="宋体" w:hAnsi="宋体"/>
          <w:highlight w:val="none"/>
        </w:rPr>
      </w:pPr>
      <w:r>
        <w:rPr>
          <w:rFonts w:hint="eastAsia" w:ascii="宋体" w:hAnsi="宋体"/>
          <w:highlight w:val="none"/>
        </w:rPr>
        <w:t>投标人全称（公章）：</w:t>
      </w:r>
    </w:p>
    <w:p w14:paraId="2ADCE7CF">
      <w:pPr>
        <w:pStyle w:val="30"/>
        <w:spacing w:after="0" w:line="360" w:lineRule="auto"/>
        <w:ind w:left="571" w:leftChars="272" w:firstLine="382"/>
        <w:rPr>
          <w:rFonts w:hint="eastAsia" w:ascii="宋体" w:hAnsi="宋体"/>
          <w:highlight w:val="none"/>
        </w:rPr>
      </w:pPr>
    </w:p>
    <w:p w14:paraId="282F0B51">
      <w:pPr>
        <w:pStyle w:val="30"/>
        <w:spacing w:after="0" w:line="360" w:lineRule="auto"/>
        <w:ind w:left="571" w:leftChars="272" w:firstLine="382"/>
        <w:rPr>
          <w:rFonts w:hint="eastAsia" w:ascii="宋体" w:hAnsi="宋体"/>
          <w:highlight w:val="none"/>
        </w:rPr>
      </w:pPr>
      <w:r>
        <w:rPr>
          <w:rFonts w:hint="eastAsia" w:ascii="宋体" w:hAnsi="宋体"/>
          <w:highlight w:val="none"/>
        </w:rPr>
        <w:t>法定代表人（签字或盖章）：</w:t>
      </w:r>
    </w:p>
    <w:p w14:paraId="218132FA">
      <w:pPr>
        <w:pStyle w:val="30"/>
        <w:spacing w:after="0" w:line="360" w:lineRule="auto"/>
        <w:ind w:left="571" w:leftChars="272" w:firstLine="382"/>
        <w:rPr>
          <w:rFonts w:hint="eastAsia" w:ascii="宋体" w:hAnsi="宋体"/>
          <w:highlight w:val="none"/>
        </w:rPr>
      </w:pPr>
    </w:p>
    <w:p w14:paraId="790CF5EC">
      <w:pPr>
        <w:pStyle w:val="30"/>
        <w:spacing w:after="0" w:line="360" w:lineRule="auto"/>
        <w:ind w:left="571" w:leftChars="272" w:firstLine="382"/>
        <w:rPr>
          <w:rFonts w:hint="eastAsia" w:ascii="宋体" w:hAnsi="宋体"/>
          <w:highlight w:val="none"/>
        </w:rPr>
      </w:pPr>
      <w:r>
        <w:rPr>
          <w:rFonts w:hint="eastAsia" w:ascii="宋体" w:hAnsi="宋体"/>
          <w:highlight w:val="none"/>
        </w:rPr>
        <w:t>日期：</w:t>
      </w:r>
    </w:p>
    <w:p w14:paraId="254CDAAE">
      <w:pPr>
        <w:pStyle w:val="4"/>
        <w:spacing w:before="120" w:after="120" w:line="360" w:lineRule="auto"/>
        <w:rPr>
          <w:rFonts w:ascii="宋体" w:hAnsi="宋体"/>
          <w:b w:val="0"/>
          <w:bCs/>
          <w:sz w:val="24"/>
          <w:szCs w:val="21"/>
          <w:highlight w:val="none"/>
        </w:rPr>
      </w:pPr>
      <w:r>
        <w:rPr>
          <w:rFonts w:ascii="宋体" w:hAnsi="宋体"/>
          <w:sz w:val="24"/>
          <w:highlight w:val="none"/>
        </w:rPr>
        <w:br w:type="page"/>
      </w:r>
      <w:bookmarkStart w:id="127" w:name="_Toc14292"/>
      <w:r>
        <w:rPr>
          <w:rFonts w:hint="eastAsia" w:ascii="宋体" w:hAnsi="宋体"/>
          <w:b w:val="0"/>
          <w:sz w:val="24"/>
          <w:szCs w:val="21"/>
          <w:highlight w:val="none"/>
        </w:rPr>
        <w:t>附件二：授权委托书</w:t>
      </w:r>
      <w:bookmarkEnd w:id="127"/>
    </w:p>
    <w:p w14:paraId="24B8C05E">
      <w:pPr>
        <w:pStyle w:val="30"/>
        <w:spacing w:after="0" w:line="360" w:lineRule="auto"/>
        <w:rPr>
          <w:rFonts w:ascii="宋体" w:hAnsi="宋体"/>
          <w:highlight w:val="none"/>
        </w:rPr>
      </w:pPr>
    </w:p>
    <w:p w14:paraId="210E52A2">
      <w:pPr>
        <w:pStyle w:val="30"/>
        <w:spacing w:after="0" w:line="360" w:lineRule="auto"/>
        <w:jc w:val="center"/>
        <w:rPr>
          <w:rFonts w:ascii="宋体" w:hAnsi="宋体"/>
          <w:b/>
          <w:sz w:val="32"/>
          <w:highlight w:val="none"/>
        </w:rPr>
      </w:pPr>
      <w:r>
        <w:rPr>
          <w:rFonts w:hint="eastAsia" w:ascii="宋体" w:hAnsi="宋体"/>
          <w:b/>
          <w:sz w:val="32"/>
          <w:highlight w:val="none"/>
        </w:rPr>
        <w:t>法定代表人授权委托书</w:t>
      </w:r>
    </w:p>
    <w:p w14:paraId="4CF07F84">
      <w:pPr>
        <w:pStyle w:val="30"/>
        <w:spacing w:after="0" w:line="360" w:lineRule="auto"/>
        <w:jc w:val="center"/>
        <w:rPr>
          <w:rFonts w:ascii="宋体" w:hAnsi="宋体"/>
          <w:b/>
          <w:sz w:val="32"/>
          <w:highlight w:val="none"/>
        </w:rPr>
      </w:pPr>
    </w:p>
    <w:p w14:paraId="3CCC8ABE">
      <w:pPr>
        <w:pStyle w:val="30"/>
        <w:spacing w:after="0" w:line="360" w:lineRule="auto"/>
        <w:rPr>
          <w:rFonts w:ascii="宋体" w:hAnsi="宋体"/>
          <w:highlight w:val="none"/>
        </w:rPr>
      </w:pPr>
      <w:r>
        <w:rPr>
          <w:rFonts w:hint="eastAsia" w:ascii="宋体" w:hAnsi="宋体"/>
          <w:highlight w:val="none"/>
        </w:rPr>
        <w:t>海逸恒安项目管理有限公司：</w:t>
      </w:r>
    </w:p>
    <w:p w14:paraId="03C67661">
      <w:pPr>
        <w:pStyle w:val="30"/>
        <w:spacing w:after="0" w:line="360" w:lineRule="auto"/>
        <w:rPr>
          <w:rFonts w:ascii="宋体" w:hAnsi="宋体"/>
          <w:highlight w:val="none"/>
        </w:rPr>
      </w:pPr>
    </w:p>
    <w:p w14:paraId="50D9D05F">
      <w:pPr>
        <w:pStyle w:val="30"/>
        <w:spacing w:after="0" w:line="360" w:lineRule="auto"/>
        <w:ind w:firstLine="480"/>
        <w:rPr>
          <w:rFonts w:ascii="宋体" w:hAnsi="宋体"/>
          <w:highlight w:val="none"/>
        </w:rPr>
      </w:pPr>
      <w:r>
        <w:rPr>
          <w:rFonts w:hint="eastAsia" w:ascii="宋体" w:hAnsi="宋体"/>
          <w:highlight w:val="none"/>
          <w:u w:val="single"/>
        </w:rPr>
        <w:t>（供应商名称）</w:t>
      </w:r>
      <w:r>
        <w:rPr>
          <w:rFonts w:hint="eastAsia" w:ascii="宋体" w:hAnsi="宋体"/>
          <w:highlight w:val="none"/>
        </w:rPr>
        <w:t>法定代表人</w:t>
      </w:r>
      <w:r>
        <w:rPr>
          <w:rFonts w:hint="eastAsia" w:ascii="宋体" w:hAnsi="宋体"/>
          <w:highlight w:val="none"/>
          <w:u w:val="single"/>
        </w:rPr>
        <w:t xml:space="preserve">    （姓名）    </w:t>
      </w:r>
      <w:r>
        <w:rPr>
          <w:rFonts w:hint="eastAsia" w:ascii="宋体" w:hAnsi="宋体"/>
          <w:highlight w:val="none"/>
        </w:rPr>
        <w:t xml:space="preserve">授权 </w:t>
      </w:r>
      <w:r>
        <w:rPr>
          <w:rFonts w:hint="eastAsia" w:ascii="宋体" w:hAnsi="宋体"/>
          <w:highlight w:val="none"/>
          <w:u w:val="single"/>
        </w:rPr>
        <w:t>（职务或职称）（姓名）</w:t>
      </w:r>
      <w:r>
        <w:rPr>
          <w:rFonts w:hint="eastAsia" w:ascii="宋体" w:hAnsi="宋体"/>
          <w:highlight w:val="none"/>
        </w:rPr>
        <w:t>为我单位本次投标授权代理人，全权处理此次</w:t>
      </w:r>
      <w:r>
        <w:rPr>
          <w:rFonts w:hint="eastAsia" w:ascii="宋体" w:hAnsi="宋体"/>
          <w:szCs w:val="24"/>
          <w:highlight w:val="none"/>
          <w:u w:val="single"/>
        </w:rPr>
        <w:t xml:space="preserve">        （项目名称）</w:t>
      </w:r>
      <w:r>
        <w:rPr>
          <w:rFonts w:hint="eastAsia" w:ascii="宋体" w:hAnsi="宋体"/>
          <w:szCs w:val="24"/>
          <w:highlight w:val="none"/>
        </w:rPr>
        <w:t>（项目编号：</w:t>
      </w:r>
      <w:r>
        <w:rPr>
          <w:rFonts w:hint="eastAsia" w:ascii="宋体" w:hAnsi="宋体"/>
          <w:szCs w:val="24"/>
          <w:highlight w:val="none"/>
          <w:u w:val="single"/>
        </w:rPr>
        <w:t xml:space="preserve">   </w:t>
      </w:r>
      <w:r>
        <w:rPr>
          <w:rFonts w:hint="eastAsia" w:ascii="宋体" w:hAnsi="宋体"/>
          <w:szCs w:val="24"/>
          <w:highlight w:val="none"/>
        </w:rPr>
        <w:t>）招标活动的一切事宜。授权代理人在投标、开标、评标过程中所签署的一切文件，我均予以承认。</w:t>
      </w:r>
    </w:p>
    <w:p w14:paraId="34D37697">
      <w:pPr>
        <w:pStyle w:val="30"/>
        <w:spacing w:after="0" w:line="360" w:lineRule="auto"/>
        <w:rPr>
          <w:rFonts w:ascii="宋体" w:hAnsi="宋体"/>
          <w:highlight w:val="none"/>
        </w:rPr>
      </w:pPr>
    </w:p>
    <w:p w14:paraId="3F5D8487">
      <w:pPr>
        <w:pStyle w:val="30"/>
        <w:spacing w:after="0" w:line="360" w:lineRule="auto"/>
        <w:ind w:firstLine="480"/>
        <w:rPr>
          <w:rFonts w:ascii="宋体" w:hAnsi="宋体"/>
          <w:highlight w:val="none"/>
        </w:rPr>
      </w:pPr>
      <w:r>
        <w:rPr>
          <w:rFonts w:hint="eastAsia" w:ascii="宋体" w:hAnsi="宋体"/>
          <w:highlight w:val="none"/>
        </w:rPr>
        <w:t>特此授权。</w:t>
      </w:r>
    </w:p>
    <w:p w14:paraId="49E8B536">
      <w:pPr>
        <w:pStyle w:val="30"/>
        <w:spacing w:after="0" w:line="360" w:lineRule="auto"/>
        <w:rPr>
          <w:rFonts w:ascii="宋体" w:hAnsi="宋体"/>
          <w:highlight w:val="none"/>
        </w:rPr>
      </w:pPr>
    </w:p>
    <w:p w14:paraId="54C0E9F4">
      <w:pPr>
        <w:pStyle w:val="30"/>
        <w:spacing w:after="0" w:line="360" w:lineRule="auto"/>
        <w:rPr>
          <w:rFonts w:ascii="宋体" w:hAnsi="宋体"/>
          <w:highlight w:val="none"/>
        </w:rPr>
      </w:pPr>
      <w:r>
        <w:rPr>
          <w:rFonts w:hint="eastAsia" w:ascii="宋体" w:hAnsi="宋体"/>
          <w:highlight w:val="none"/>
        </w:rPr>
        <w:t>（附法定代表人身份证明复印件）           （附授权代理人身份证明复印件）</w:t>
      </w:r>
    </w:p>
    <w:p w14:paraId="74D1E542">
      <w:pPr>
        <w:pStyle w:val="30"/>
        <w:spacing w:after="0" w:line="360" w:lineRule="auto"/>
        <w:rPr>
          <w:rFonts w:ascii="宋体" w:hAnsi="宋体"/>
          <w:highlight w:val="none"/>
        </w:rPr>
      </w:pPr>
    </w:p>
    <w:p w14:paraId="6282F0E7">
      <w:pPr>
        <w:pStyle w:val="30"/>
        <w:spacing w:after="0" w:line="360" w:lineRule="auto"/>
        <w:rPr>
          <w:rFonts w:ascii="宋体" w:hAnsi="宋体"/>
          <w:highlight w:val="none"/>
        </w:rPr>
      </w:pPr>
    </w:p>
    <w:p w14:paraId="54ED90CC">
      <w:pPr>
        <w:pStyle w:val="30"/>
        <w:spacing w:after="0" w:line="360" w:lineRule="auto"/>
        <w:rPr>
          <w:rFonts w:ascii="宋体" w:hAnsi="宋体"/>
          <w:highlight w:val="none"/>
        </w:rPr>
      </w:pPr>
      <w:r>
        <w:rPr>
          <w:rFonts w:hint="eastAsia" w:ascii="宋体" w:hAnsi="宋体"/>
          <w:highlight w:val="none"/>
        </w:rPr>
        <w:t>供应商名称（公章）：</w:t>
      </w:r>
    </w:p>
    <w:p w14:paraId="29B35285">
      <w:pPr>
        <w:pStyle w:val="30"/>
        <w:spacing w:after="0" w:line="360" w:lineRule="auto"/>
        <w:rPr>
          <w:rFonts w:ascii="宋体" w:hAnsi="宋体"/>
          <w:highlight w:val="none"/>
        </w:rPr>
      </w:pPr>
      <w:r>
        <w:rPr>
          <w:rFonts w:hint="eastAsia" w:ascii="宋体" w:hAnsi="宋体"/>
          <w:highlight w:val="none"/>
        </w:rPr>
        <w:t>法定代表人签字</w:t>
      </w:r>
      <w:r>
        <w:rPr>
          <w:rFonts w:hint="eastAsia" w:ascii="宋体" w:hAnsi="宋体"/>
          <w:szCs w:val="24"/>
          <w:highlight w:val="none"/>
        </w:rPr>
        <w:t>或盖章</w:t>
      </w:r>
      <w:r>
        <w:rPr>
          <w:rFonts w:hint="eastAsia" w:ascii="宋体" w:hAnsi="宋体"/>
          <w:highlight w:val="none"/>
        </w:rPr>
        <w:t>：</w:t>
      </w:r>
    </w:p>
    <w:p w14:paraId="38CCA8A5">
      <w:pPr>
        <w:pStyle w:val="30"/>
        <w:spacing w:after="0" w:line="360" w:lineRule="auto"/>
        <w:rPr>
          <w:rFonts w:ascii="宋体" w:hAnsi="宋体"/>
          <w:highlight w:val="none"/>
        </w:rPr>
      </w:pPr>
      <w:r>
        <w:rPr>
          <w:rFonts w:hint="eastAsia" w:ascii="宋体" w:hAnsi="宋体"/>
          <w:highlight w:val="none"/>
        </w:rPr>
        <w:t>授权代理人签字：</w:t>
      </w:r>
    </w:p>
    <w:p w14:paraId="159E5202">
      <w:pPr>
        <w:pStyle w:val="30"/>
        <w:spacing w:after="0" w:line="360" w:lineRule="auto"/>
        <w:rPr>
          <w:rFonts w:ascii="宋体" w:hAnsi="宋体"/>
          <w:highlight w:val="none"/>
        </w:rPr>
      </w:pPr>
    </w:p>
    <w:p w14:paraId="1FB8B6DC">
      <w:pPr>
        <w:pStyle w:val="30"/>
        <w:spacing w:after="0" w:line="360" w:lineRule="auto"/>
        <w:rPr>
          <w:rFonts w:ascii="宋体" w:hAnsi="宋体"/>
          <w:highlight w:val="none"/>
        </w:rPr>
      </w:pPr>
    </w:p>
    <w:p w14:paraId="1A0A100E">
      <w:pPr>
        <w:pStyle w:val="30"/>
        <w:spacing w:after="0" w:line="360" w:lineRule="auto"/>
        <w:ind w:left="6660" w:firstLine="480"/>
        <w:rPr>
          <w:rFonts w:ascii="宋体" w:hAnsi="宋体"/>
          <w:highlight w:val="none"/>
        </w:rPr>
      </w:pPr>
      <w:r>
        <w:rPr>
          <w:rFonts w:hint="eastAsia" w:ascii="宋体" w:hAnsi="宋体"/>
          <w:highlight w:val="none"/>
        </w:rPr>
        <w:t>年  月  日</w:t>
      </w:r>
    </w:p>
    <w:p w14:paraId="3E736B5D">
      <w:pPr>
        <w:pStyle w:val="30"/>
        <w:spacing w:after="0" w:line="360" w:lineRule="auto"/>
        <w:rPr>
          <w:rFonts w:ascii="宋体" w:hAnsi="宋体"/>
          <w:highlight w:val="none"/>
        </w:rPr>
        <w:sectPr>
          <w:pgSz w:w="11907" w:h="16840"/>
          <w:pgMar w:top="1418" w:right="1418" w:bottom="1418" w:left="1418" w:header="851" w:footer="822" w:gutter="0"/>
          <w:pgNumType w:fmt="decimal"/>
          <w:cols w:space="720" w:num="1"/>
          <w:rtlGutter w:val="1"/>
          <w:docGrid w:linePitch="290" w:charSpace="-3931"/>
        </w:sectPr>
      </w:pPr>
    </w:p>
    <w:p w14:paraId="10A641C9">
      <w:pPr>
        <w:pStyle w:val="4"/>
        <w:spacing w:before="120" w:after="120" w:line="360" w:lineRule="auto"/>
        <w:rPr>
          <w:rFonts w:ascii="宋体" w:hAnsi="宋体"/>
          <w:b w:val="0"/>
          <w:bCs/>
          <w:sz w:val="24"/>
          <w:szCs w:val="21"/>
          <w:highlight w:val="none"/>
        </w:rPr>
      </w:pPr>
      <w:bookmarkStart w:id="128" w:name="_Toc23218"/>
      <w:r>
        <w:rPr>
          <w:rFonts w:hint="eastAsia" w:ascii="宋体" w:hAnsi="宋体"/>
          <w:b w:val="0"/>
          <w:sz w:val="24"/>
          <w:szCs w:val="21"/>
          <w:highlight w:val="none"/>
        </w:rPr>
        <w:t>附件三：开标一览表</w:t>
      </w:r>
      <w:bookmarkEnd w:id="128"/>
    </w:p>
    <w:p w14:paraId="383B0929">
      <w:pPr>
        <w:pStyle w:val="30"/>
        <w:spacing w:after="0" w:line="360" w:lineRule="auto"/>
        <w:jc w:val="center"/>
        <w:rPr>
          <w:rFonts w:ascii="宋体" w:hAnsi="宋体"/>
          <w:b/>
          <w:sz w:val="32"/>
          <w:highlight w:val="none"/>
        </w:rPr>
      </w:pPr>
      <w:r>
        <w:rPr>
          <w:rFonts w:hint="eastAsia" w:ascii="宋体" w:hAnsi="宋体"/>
          <w:b/>
          <w:sz w:val="32"/>
          <w:highlight w:val="none"/>
        </w:rPr>
        <w:t>开标一览表</w:t>
      </w:r>
    </w:p>
    <w:p w14:paraId="04CF6C96">
      <w:pPr>
        <w:pStyle w:val="31"/>
        <w:spacing w:line="360" w:lineRule="auto"/>
        <w:ind w:left="0" w:leftChars="0" w:firstLine="0" w:firstLineChars="0"/>
        <w:rPr>
          <w:rFonts w:ascii="宋体" w:hAnsi="宋体"/>
          <w:bCs/>
          <w:highlight w:val="none"/>
        </w:rPr>
      </w:pPr>
    </w:p>
    <w:p w14:paraId="0020EED3">
      <w:pPr>
        <w:pStyle w:val="31"/>
        <w:spacing w:line="360" w:lineRule="auto"/>
        <w:ind w:left="0" w:leftChars="0" w:firstLine="0" w:firstLineChars="0"/>
        <w:rPr>
          <w:rFonts w:hint="eastAsia" w:ascii="宋体" w:hAnsi="宋体"/>
          <w:bCs/>
          <w:highlight w:val="none"/>
          <w:u w:val="single"/>
        </w:rPr>
      </w:pPr>
      <w:r>
        <w:rPr>
          <w:rFonts w:hint="eastAsia" w:ascii="宋体" w:hAnsi="宋体"/>
          <w:bCs/>
          <w:highlight w:val="none"/>
        </w:rPr>
        <w:t>项目编号</w:t>
      </w:r>
      <w:r>
        <w:rPr>
          <w:rFonts w:hint="eastAsia" w:ascii="宋体" w:hAnsi="宋体"/>
          <w:b/>
          <w:bCs/>
          <w:highlight w:val="none"/>
        </w:rPr>
        <w:t>：</w:t>
      </w:r>
      <w:r>
        <w:rPr>
          <w:rFonts w:hint="eastAsia" w:ascii="宋体" w:hAnsi="宋体"/>
          <w:highlight w:val="none"/>
        </w:rPr>
        <w:t xml:space="preserve"> _______________________</w:t>
      </w:r>
      <w:r>
        <w:rPr>
          <w:rFonts w:hint="eastAsia" w:ascii="宋体" w:hAnsi="宋体"/>
          <w:bCs/>
          <w:highlight w:val="none"/>
          <w:u w:val="single"/>
        </w:rPr>
        <w:t xml:space="preserve"> </w:t>
      </w:r>
    </w:p>
    <w:p w14:paraId="3E97EA99">
      <w:pPr>
        <w:pStyle w:val="31"/>
        <w:spacing w:line="360" w:lineRule="auto"/>
        <w:ind w:left="0" w:leftChars="0" w:firstLine="0" w:firstLineChars="0"/>
        <w:rPr>
          <w:rFonts w:hint="default" w:ascii="宋体" w:hAnsi="宋体"/>
          <w:bCs/>
          <w:highlight w:val="none"/>
          <w:lang w:val="en-US"/>
        </w:rPr>
      </w:pPr>
      <w:r>
        <w:rPr>
          <w:rFonts w:hint="eastAsia" w:ascii="宋体" w:hAnsi="宋体"/>
          <w:bCs/>
          <w:highlight w:val="none"/>
        </w:rPr>
        <w:t>项目名称</w:t>
      </w:r>
      <w:r>
        <w:rPr>
          <w:rFonts w:hint="eastAsia" w:ascii="宋体" w:hAnsi="宋体"/>
          <w:b/>
          <w:bCs/>
          <w:highlight w:val="none"/>
        </w:rPr>
        <w:t>：</w:t>
      </w:r>
      <w:r>
        <w:rPr>
          <w:rFonts w:hint="eastAsia" w:ascii="宋体" w:hAnsi="宋体"/>
          <w:highlight w:val="none"/>
        </w:rPr>
        <w:t>_______________________</w:t>
      </w:r>
      <w:r>
        <w:rPr>
          <w:rFonts w:hint="eastAsia" w:ascii="宋体" w:hAnsi="宋体"/>
          <w:bCs/>
          <w:highlight w:val="none"/>
          <w:u w:val="single"/>
        </w:rPr>
        <w:t xml:space="preserve">   </w:t>
      </w:r>
      <w:r>
        <w:rPr>
          <w:rFonts w:hint="eastAsia" w:ascii="宋体" w:hAnsi="宋体"/>
          <w:bCs/>
          <w:highlight w:val="none"/>
          <w:u w:val="none"/>
        </w:rPr>
        <w:t xml:space="preserve"> </w:t>
      </w:r>
      <w:r>
        <w:rPr>
          <w:rFonts w:hint="eastAsia" w:ascii="宋体" w:hAnsi="宋体"/>
          <w:bCs/>
          <w:highlight w:val="none"/>
          <w:u w:val="none"/>
          <w:lang w:val="en-US" w:eastAsia="zh-CN"/>
        </w:rPr>
        <w:t xml:space="preserve">     </w:t>
      </w:r>
      <w:r>
        <w:rPr>
          <w:rFonts w:hint="eastAsia" w:ascii="宋体" w:hAnsi="宋体"/>
          <w:highlight w:val="none"/>
          <w:lang w:val="en-US" w:eastAsia="zh-CN"/>
        </w:rPr>
        <w:t>包号：</w:t>
      </w:r>
      <w:r>
        <w:rPr>
          <w:rFonts w:hint="eastAsia" w:ascii="宋体" w:hAnsi="宋体"/>
          <w:highlight w:val="none"/>
        </w:rPr>
        <w:t>___________</w:t>
      </w:r>
      <w:r>
        <w:rPr>
          <w:rFonts w:hint="eastAsia" w:ascii="宋体" w:hAnsi="宋体"/>
          <w:highlight w:val="none"/>
          <w:lang w:val="en-US" w:eastAsia="zh-CN"/>
        </w:rPr>
        <w:t xml:space="preserve"> </w:t>
      </w:r>
      <w:r>
        <w:rPr>
          <w:rFonts w:hint="eastAsia" w:ascii="宋体" w:hAnsi="宋体"/>
          <w:bCs/>
          <w:highlight w:val="none"/>
          <w:u w:val="single"/>
        </w:rPr>
        <w:t xml:space="preserve"> </w:t>
      </w:r>
      <w:r>
        <w:rPr>
          <w:rFonts w:hint="eastAsia" w:ascii="宋体" w:hAnsi="宋体"/>
          <w:bCs/>
          <w:highlight w:val="none"/>
          <w:u w:val="none"/>
        </w:rPr>
        <w:t xml:space="preserve"> </w:t>
      </w:r>
      <w:r>
        <w:rPr>
          <w:rFonts w:hint="eastAsia" w:ascii="宋体" w:hAnsi="宋体"/>
          <w:bCs/>
          <w:highlight w:val="none"/>
          <w:u w:val="none"/>
          <w:lang w:val="en-US" w:eastAsia="zh-CN"/>
        </w:rPr>
        <w:t xml:space="preserve">      </w:t>
      </w:r>
      <w:r>
        <w:rPr>
          <w:rFonts w:hint="eastAsia" w:ascii="宋体" w:hAnsi="宋体"/>
          <w:highlight w:val="none"/>
          <w:u w:val="single"/>
          <w:lang w:val="en-US" w:eastAsia="zh-CN"/>
        </w:rPr>
        <w:t xml:space="preserve">            </w:t>
      </w:r>
      <w:r>
        <w:rPr>
          <w:rFonts w:hint="eastAsia" w:ascii="宋体" w:hAnsi="宋体"/>
          <w:highlight w:val="none"/>
          <w:lang w:val="en-US" w:eastAsia="zh-CN"/>
        </w:rPr>
        <w:t xml:space="preserve"> </w:t>
      </w:r>
    </w:p>
    <w:tbl>
      <w:tblPr>
        <w:tblStyle w:val="75"/>
        <w:tblW w:w="9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7401"/>
      </w:tblGrid>
      <w:tr w14:paraId="1FB4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31" w:hRule="atLeast"/>
          <w:jc w:val="center"/>
        </w:trPr>
        <w:tc>
          <w:tcPr>
            <w:tcW w:w="1939" w:type="dxa"/>
            <w:noWrap w:val="0"/>
            <w:vAlign w:val="center"/>
          </w:tcPr>
          <w:p w14:paraId="579A5260">
            <w:pPr>
              <w:spacing w:line="360" w:lineRule="auto"/>
              <w:jc w:val="center"/>
              <w:rPr>
                <w:rFonts w:ascii="宋体" w:hAnsi="宋体"/>
                <w:b/>
                <w:sz w:val="24"/>
                <w:highlight w:val="none"/>
              </w:rPr>
            </w:pPr>
            <w:r>
              <w:rPr>
                <w:rFonts w:hint="eastAsia" w:ascii="宋体" w:hAnsi="宋体"/>
                <w:b/>
                <w:sz w:val="24"/>
                <w:highlight w:val="none"/>
              </w:rPr>
              <w:t>供应商名称</w:t>
            </w:r>
          </w:p>
        </w:tc>
        <w:tc>
          <w:tcPr>
            <w:tcW w:w="7401" w:type="dxa"/>
            <w:noWrap w:val="0"/>
            <w:vAlign w:val="center"/>
          </w:tcPr>
          <w:p w14:paraId="65A84F6B">
            <w:pPr>
              <w:spacing w:line="360" w:lineRule="auto"/>
              <w:jc w:val="center"/>
              <w:rPr>
                <w:rFonts w:ascii="宋体" w:hAnsi="宋体"/>
                <w:b/>
                <w:sz w:val="24"/>
                <w:highlight w:val="none"/>
              </w:rPr>
            </w:pPr>
          </w:p>
        </w:tc>
      </w:tr>
      <w:tr w14:paraId="1012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1939" w:type="dxa"/>
            <w:noWrap w:val="0"/>
            <w:vAlign w:val="center"/>
          </w:tcPr>
          <w:p w14:paraId="475A64E7">
            <w:pPr>
              <w:tabs>
                <w:tab w:val="left" w:pos="1337"/>
              </w:tabs>
              <w:spacing w:line="360" w:lineRule="auto"/>
              <w:ind w:left="27" w:leftChars="13"/>
              <w:jc w:val="center"/>
              <w:rPr>
                <w:rFonts w:ascii="宋体" w:hAnsi="宋体"/>
                <w:sz w:val="24"/>
                <w:highlight w:val="none"/>
              </w:rPr>
            </w:pPr>
            <w:r>
              <w:rPr>
                <w:rFonts w:hint="eastAsia" w:ascii="宋体" w:hAnsi="宋体"/>
                <w:sz w:val="24"/>
                <w:highlight w:val="none"/>
              </w:rPr>
              <w:t>总报价（元）</w:t>
            </w:r>
          </w:p>
        </w:tc>
        <w:tc>
          <w:tcPr>
            <w:tcW w:w="7401" w:type="dxa"/>
            <w:noWrap w:val="0"/>
            <w:vAlign w:val="center"/>
          </w:tcPr>
          <w:p w14:paraId="5A5E2FD0">
            <w:pPr>
              <w:tabs>
                <w:tab w:val="left" w:pos="1337"/>
              </w:tabs>
              <w:spacing w:line="360" w:lineRule="auto"/>
              <w:ind w:left="191"/>
              <w:rPr>
                <w:rFonts w:ascii="宋体" w:hAnsi="宋体"/>
                <w:sz w:val="24"/>
                <w:highlight w:val="none"/>
                <w:u w:val="single"/>
              </w:rPr>
            </w:pPr>
            <w:r>
              <w:rPr>
                <w:rFonts w:hint="eastAsia" w:ascii="宋体" w:hAnsi="宋体"/>
                <w:sz w:val="24"/>
                <w:highlight w:val="none"/>
              </w:rPr>
              <w:t>大写：</w:t>
            </w:r>
            <w:r>
              <w:rPr>
                <w:rFonts w:ascii="宋体" w:hAnsi="宋体"/>
                <w:sz w:val="24"/>
                <w:highlight w:val="none"/>
                <w:u w:val="single"/>
              </w:rPr>
              <w:t xml:space="preserve">                   </w:t>
            </w:r>
            <w:r>
              <w:rPr>
                <w:rFonts w:hint="eastAsia" w:ascii="宋体" w:hAnsi="宋体"/>
                <w:sz w:val="24"/>
                <w:highlight w:val="none"/>
                <w:u w:val="single"/>
              </w:rPr>
              <w:t>元</w:t>
            </w:r>
            <w:r>
              <w:rPr>
                <w:rFonts w:hint="eastAsia" w:ascii="宋体" w:hAnsi="宋体"/>
                <w:sz w:val="24"/>
                <w:highlight w:val="none"/>
              </w:rPr>
              <w:t>；</w:t>
            </w:r>
          </w:p>
          <w:p w14:paraId="273AAD1A">
            <w:pPr>
              <w:tabs>
                <w:tab w:val="left" w:pos="1337"/>
              </w:tabs>
              <w:spacing w:line="360" w:lineRule="auto"/>
              <w:ind w:left="191"/>
              <w:rPr>
                <w:rFonts w:ascii="宋体" w:hAnsi="宋体"/>
                <w:sz w:val="24"/>
                <w:highlight w:val="none"/>
                <w:u w:val="single"/>
              </w:rPr>
            </w:pPr>
          </w:p>
          <w:p w14:paraId="7162AB2F">
            <w:pPr>
              <w:tabs>
                <w:tab w:val="left" w:pos="1337"/>
              </w:tabs>
              <w:spacing w:line="360" w:lineRule="auto"/>
              <w:ind w:left="191"/>
              <w:rPr>
                <w:rFonts w:ascii="宋体" w:hAnsi="宋体"/>
                <w:sz w:val="24"/>
                <w:highlight w:val="none"/>
                <w:u w:val="single"/>
              </w:rPr>
            </w:pPr>
            <w:r>
              <w:rPr>
                <w:rFonts w:hint="eastAsia" w:ascii="宋体" w:hAnsi="宋体"/>
                <w:sz w:val="24"/>
                <w:highlight w:val="none"/>
              </w:rPr>
              <w:t>小写：</w:t>
            </w:r>
            <w:r>
              <w:rPr>
                <w:rFonts w:ascii="宋体" w:hAnsi="宋体"/>
                <w:sz w:val="24"/>
                <w:highlight w:val="none"/>
                <w:u w:val="single"/>
              </w:rPr>
              <w:t xml:space="preserve">                   </w:t>
            </w:r>
            <w:r>
              <w:rPr>
                <w:rFonts w:hint="eastAsia" w:ascii="宋体" w:hAnsi="宋体"/>
                <w:sz w:val="24"/>
                <w:highlight w:val="none"/>
                <w:u w:val="single"/>
              </w:rPr>
              <w:t>元</w:t>
            </w:r>
            <w:r>
              <w:rPr>
                <w:rFonts w:hint="eastAsia" w:ascii="宋体" w:hAnsi="宋体"/>
                <w:sz w:val="24"/>
                <w:highlight w:val="none"/>
              </w:rPr>
              <w:t>。</w:t>
            </w:r>
          </w:p>
        </w:tc>
      </w:tr>
      <w:tr w14:paraId="64A3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jc w:val="center"/>
        </w:trPr>
        <w:tc>
          <w:tcPr>
            <w:tcW w:w="1939" w:type="dxa"/>
            <w:noWrap w:val="0"/>
            <w:vAlign w:val="center"/>
          </w:tcPr>
          <w:p w14:paraId="3E72B931">
            <w:pPr>
              <w:tabs>
                <w:tab w:val="left" w:pos="1337"/>
              </w:tabs>
              <w:spacing w:line="360" w:lineRule="auto"/>
              <w:ind w:left="240" w:hanging="240" w:hangingChars="100"/>
              <w:jc w:val="center"/>
              <w:rPr>
                <w:rFonts w:ascii="宋体" w:hAnsi="宋体" w:cs="宋体"/>
                <w:sz w:val="24"/>
                <w:highlight w:val="none"/>
              </w:rPr>
            </w:pPr>
            <w:r>
              <w:rPr>
                <w:rFonts w:hint="eastAsia" w:ascii="宋体" w:hAnsi="宋体" w:cs="宋体"/>
                <w:sz w:val="24"/>
                <w:highlight w:val="none"/>
              </w:rPr>
              <w:t>项目负责人</w:t>
            </w:r>
          </w:p>
        </w:tc>
        <w:tc>
          <w:tcPr>
            <w:tcW w:w="7401" w:type="dxa"/>
            <w:noWrap w:val="0"/>
            <w:vAlign w:val="center"/>
          </w:tcPr>
          <w:p w14:paraId="128A3B4B">
            <w:pPr>
              <w:tabs>
                <w:tab w:val="left" w:pos="1337"/>
              </w:tabs>
              <w:spacing w:line="360" w:lineRule="auto"/>
              <w:rPr>
                <w:rFonts w:ascii="宋体" w:hAnsi="宋体" w:cs="宋体"/>
                <w:b/>
                <w:sz w:val="24"/>
                <w:highlight w:val="none"/>
              </w:rPr>
            </w:pPr>
            <w:r>
              <w:rPr>
                <w:rFonts w:hint="eastAsia" w:ascii="宋体" w:hAnsi="宋体" w:cs="宋体"/>
                <w:sz w:val="24"/>
                <w:highlight w:val="none"/>
              </w:rPr>
              <w:t xml:space="preserve">姓名： </w:t>
            </w:r>
            <w:r>
              <w:rPr>
                <w:rFonts w:ascii="宋体" w:hAnsi="宋体" w:cs="宋体"/>
                <w:sz w:val="24"/>
                <w:highlight w:val="none"/>
              </w:rPr>
              <w:t xml:space="preserve">     </w:t>
            </w:r>
          </w:p>
        </w:tc>
      </w:tr>
      <w:tr w14:paraId="6221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9" w:hRule="atLeast"/>
          <w:jc w:val="center"/>
        </w:trPr>
        <w:tc>
          <w:tcPr>
            <w:tcW w:w="1939" w:type="dxa"/>
            <w:noWrap w:val="0"/>
            <w:vAlign w:val="center"/>
          </w:tcPr>
          <w:p w14:paraId="32AC17FA">
            <w:pPr>
              <w:tabs>
                <w:tab w:val="left" w:pos="1337"/>
              </w:tabs>
              <w:spacing w:line="360" w:lineRule="auto"/>
              <w:ind w:left="27" w:leftChars="13"/>
              <w:jc w:val="center"/>
              <w:rPr>
                <w:rFonts w:ascii="宋体" w:hAnsi="宋体"/>
                <w:sz w:val="24"/>
                <w:highlight w:val="none"/>
              </w:rPr>
            </w:pPr>
            <w:r>
              <w:rPr>
                <w:rFonts w:hint="eastAsia" w:ascii="宋体" w:hAnsi="宋体"/>
                <w:sz w:val="24"/>
                <w:highlight w:val="none"/>
              </w:rPr>
              <w:t>对招标文件的认同程度声明（是否完全认同）</w:t>
            </w:r>
          </w:p>
        </w:tc>
        <w:tc>
          <w:tcPr>
            <w:tcW w:w="7401" w:type="dxa"/>
            <w:noWrap w:val="0"/>
            <w:vAlign w:val="center"/>
          </w:tcPr>
          <w:p w14:paraId="2CEB2BD4">
            <w:pPr>
              <w:tabs>
                <w:tab w:val="left" w:pos="1337"/>
              </w:tabs>
              <w:spacing w:line="360" w:lineRule="auto"/>
              <w:ind w:left="191"/>
              <w:jc w:val="center"/>
              <w:rPr>
                <w:rFonts w:ascii="宋体" w:hAnsi="宋体"/>
                <w:sz w:val="24"/>
                <w:highlight w:val="none"/>
              </w:rPr>
            </w:pPr>
          </w:p>
        </w:tc>
      </w:tr>
    </w:tbl>
    <w:p w14:paraId="2F2224B0">
      <w:pPr>
        <w:spacing w:line="360" w:lineRule="auto"/>
        <w:rPr>
          <w:rFonts w:ascii="宋体" w:hAnsi="宋体"/>
          <w:b/>
          <w:sz w:val="24"/>
          <w:highlight w:val="none"/>
        </w:rPr>
      </w:pPr>
      <w:r>
        <w:rPr>
          <w:rFonts w:hint="eastAsia" w:ascii="宋体" w:hAnsi="宋体"/>
          <w:b/>
          <w:sz w:val="24"/>
          <w:highlight w:val="none"/>
        </w:rPr>
        <w:t>注：本表须按给定格式填写完整，不允许空白，如无相应内容，填“无”。</w:t>
      </w:r>
    </w:p>
    <w:p w14:paraId="289625F6">
      <w:pPr>
        <w:spacing w:line="360" w:lineRule="auto"/>
        <w:ind w:right="187"/>
        <w:rPr>
          <w:rFonts w:ascii="宋体" w:hAnsi="宋体"/>
          <w:bCs/>
          <w:sz w:val="24"/>
          <w:highlight w:val="none"/>
          <w:u w:val="single"/>
        </w:rPr>
      </w:pPr>
      <w:r>
        <w:rPr>
          <w:rFonts w:hint="eastAsia" w:ascii="宋体" w:hAnsi="宋体"/>
          <w:sz w:val="24"/>
          <w:highlight w:val="none"/>
        </w:rPr>
        <w:t>供应商名称</w:t>
      </w:r>
      <w:r>
        <w:rPr>
          <w:rFonts w:hint="eastAsia" w:ascii="宋体" w:hAnsi="宋体"/>
          <w:bCs/>
          <w:sz w:val="24"/>
          <w:highlight w:val="none"/>
        </w:rPr>
        <w:t>（公章）：</w:t>
      </w:r>
    </w:p>
    <w:p w14:paraId="37887AED">
      <w:pPr>
        <w:spacing w:line="360" w:lineRule="auto"/>
        <w:ind w:right="187"/>
        <w:rPr>
          <w:rFonts w:ascii="宋体" w:hAnsi="宋体"/>
          <w:bCs/>
          <w:sz w:val="24"/>
          <w:highlight w:val="none"/>
          <w:u w:val="single"/>
        </w:rPr>
      </w:pPr>
    </w:p>
    <w:p w14:paraId="7E5172D0">
      <w:pPr>
        <w:spacing w:line="360" w:lineRule="auto"/>
        <w:ind w:right="187"/>
        <w:rPr>
          <w:rFonts w:ascii="宋体" w:hAnsi="宋体"/>
          <w:bCs/>
          <w:sz w:val="24"/>
          <w:highlight w:val="none"/>
        </w:rPr>
      </w:pPr>
      <w:r>
        <w:rPr>
          <w:rFonts w:hint="eastAsia" w:ascii="宋体" w:hAnsi="宋体" w:cs="宋体"/>
          <w:sz w:val="24"/>
          <w:highlight w:val="none"/>
        </w:rPr>
        <w:t>法定代表人或授权代理人签字或盖章</w:t>
      </w:r>
      <w:r>
        <w:rPr>
          <w:rFonts w:hint="eastAsia" w:ascii="宋体" w:hAnsi="宋体"/>
          <w:bCs/>
          <w:sz w:val="24"/>
          <w:highlight w:val="none"/>
        </w:rPr>
        <w:t>：</w:t>
      </w:r>
    </w:p>
    <w:p w14:paraId="77EBF60A">
      <w:pPr>
        <w:spacing w:line="360" w:lineRule="auto"/>
        <w:ind w:firstLine="630" w:firstLineChars="300"/>
        <w:rPr>
          <w:rFonts w:ascii="宋体" w:hAnsi="宋体"/>
          <w:highlight w:val="none"/>
        </w:rPr>
      </w:pPr>
    </w:p>
    <w:p w14:paraId="5E6BD884">
      <w:pPr>
        <w:spacing w:line="360" w:lineRule="auto"/>
        <w:ind w:firstLine="720" w:firstLineChars="300"/>
        <w:jc w:val="right"/>
        <w:rPr>
          <w:rFonts w:ascii="宋体" w:hAnsi="宋体"/>
          <w:bCs/>
          <w:sz w:val="24"/>
          <w:highlight w:val="none"/>
        </w:rPr>
      </w:pPr>
      <w:r>
        <w:rPr>
          <w:rFonts w:hint="eastAsia" w:ascii="宋体" w:hAnsi="宋体"/>
          <w:bCs/>
          <w:sz w:val="24"/>
          <w:highlight w:val="none"/>
        </w:rPr>
        <w:t xml:space="preserve">    年  月  日</w:t>
      </w:r>
    </w:p>
    <w:p w14:paraId="384E1CCA">
      <w:pPr>
        <w:spacing w:before="120" w:after="120" w:line="360" w:lineRule="auto"/>
        <w:rPr>
          <w:rFonts w:hint="eastAsia" w:ascii="宋体" w:hAnsi="宋体"/>
          <w:b/>
          <w:sz w:val="24"/>
          <w:szCs w:val="21"/>
          <w:highlight w:val="none"/>
        </w:rPr>
      </w:pPr>
    </w:p>
    <w:p w14:paraId="76B90A24">
      <w:pPr>
        <w:spacing w:before="120" w:after="120" w:line="360" w:lineRule="auto"/>
        <w:rPr>
          <w:rFonts w:hint="eastAsia" w:ascii="宋体" w:hAnsi="宋体"/>
          <w:b/>
          <w:sz w:val="24"/>
          <w:szCs w:val="21"/>
          <w:highlight w:val="none"/>
        </w:rPr>
      </w:pPr>
    </w:p>
    <w:p w14:paraId="0515F427">
      <w:pPr>
        <w:spacing w:before="120" w:after="120" w:line="360" w:lineRule="auto"/>
        <w:rPr>
          <w:rFonts w:hint="eastAsia" w:ascii="宋体" w:hAnsi="宋体"/>
          <w:b/>
          <w:sz w:val="24"/>
          <w:szCs w:val="21"/>
          <w:highlight w:val="none"/>
        </w:rPr>
      </w:pPr>
    </w:p>
    <w:p w14:paraId="1ED9BFF7">
      <w:pPr>
        <w:pStyle w:val="172"/>
        <w:rPr>
          <w:rFonts w:hint="eastAsia" w:hAnsi="宋体"/>
          <w:b/>
          <w:color w:val="auto"/>
          <w:szCs w:val="21"/>
          <w:highlight w:val="none"/>
        </w:rPr>
      </w:pPr>
    </w:p>
    <w:p w14:paraId="03DEB29E">
      <w:pPr>
        <w:pStyle w:val="172"/>
        <w:rPr>
          <w:rFonts w:hint="eastAsia" w:hAnsi="宋体"/>
          <w:b/>
          <w:color w:val="auto"/>
          <w:szCs w:val="21"/>
          <w:highlight w:val="none"/>
        </w:rPr>
      </w:pPr>
    </w:p>
    <w:p w14:paraId="56C42A54">
      <w:pPr>
        <w:pStyle w:val="4"/>
        <w:spacing w:before="120" w:after="120" w:line="360" w:lineRule="auto"/>
        <w:rPr>
          <w:rFonts w:ascii="宋体" w:hAnsi="宋体"/>
          <w:b w:val="0"/>
          <w:bCs/>
          <w:sz w:val="24"/>
          <w:szCs w:val="21"/>
          <w:highlight w:val="none"/>
        </w:rPr>
      </w:pPr>
      <w:r>
        <w:rPr>
          <w:rFonts w:hint="eastAsia" w:ascii="宋体" w:hAnsi="宋体"/>
          <w:b w:val="0"/>
          <w:sz w:val="24"/>
          <w:szCs w:val="21"/>
          <w:highlight w:val="none"/>
        </w:rPr>
        <w:br w:type="page"/>
      </w:r>
      <w:bookmarkStart w:id="129" w:name="_Toc2370"/>
      <w:r>
        <w:rPr>
          <w:rFonts w:hint="eastAsia" w:ascii="宋体" w:hAnsi="宋体"/>
          <w:b w:val="0"/>
          <w:sz w:val="24"/>
          <w:szCs w:val="21"/>
          <w:highlight w:val="none"/>
        </w:rPr>
        <w:t>附件四：分项报价表</w:t>
      </w:r>
      <w:bookmarkEnd w:id="129"/>
    </w:p>
    <w:p w14:paraId="7E4EF3AF">
      <w:pPr>
        <w:pStyle w:val="30"/>
        <w:spacing w:after="0" w:line="360" w:lineRule="auto"/>
        <w:jc w:val="center"/>
        <w:rPr>
          <w:rFonts w:ascii="宋体" w:hAnsi="宋体"/>
          <w:b/>
          <w:sz w:val="32"/>
          <w:highlight w:val="none"/>
        </w:rPr>
      </w:pPr>
      <w:r>
        <w:rPr>
          <w:rFonts w:hint="eastAsia" w:ascii="宋体" w:hAnsi="宋体"/>
          <w:b/>
          <w:sz w:val="32"/>
          <w:highlight w:val="none"/>
        </w:rPr>
        <w:t>分项报价表</w:t>
      </w:r>
    </w:p>
    <w:p w14:paraId="442EE810">
      <w:pPr>
        <w:pStyle w:val="31"/>
        <w:spacing w:line="360" w:lineRule="auto"/>
        <w:ind w:left="0" w:leftChars="0" w:firstLine="0" w:firstLineChars="0"/>
        <w:rPr>
          <w:rFonts w:hint="eastAsia" w:ascii="宋体" w:hAnsi="宋体"/>
          <w:bCs/>
          <w:highlight w:val="none"/>
          <w:u w:val="single"/>
        </w:rPr>
      </w:pPr>
      <w:r>
        <w:rPr>
          <w:rFonts w:hint="eastAsia" w:ascii="宋体" w:hAnsi="宋体"/>
          <w:bCs/>
          <w:highlight w:val="none"/>
        </w:rPr>
        <w:t>项目编号</w:t>
      </w:r>
      <w:r>
        <w:rPr>
          <w:rFonts w:hint="eastAsia" w:ascii="宋体" w:hAnsi="宋体"/>
          <w:b/>
          <w:bCs/>
          <w:highlight w:val="none"/>
        </w:rPr>
        <w:t>：</w:t>
      </w:r>
      <w:r>
        <w:rPr>
          <w:rFonts w:hint="eastAsia" w:ascii="宋体" w:hAnsi="宋体"/>
          <w:highlight w:val="none"/>
        </w:rPr>
        <w:t xml:space="preserve"> _______________________</w:t>
      </w:r>
      <w:r>
        <w:rPr>
          <w:rFonts w:hint="eastAsia" w:ascii="宋体" w:hAnsi="宋体"/>
          <w:bCs/>
          <w:highlight w:val="none"/>
          <w:u w:val="single"/>
        </w:rPr>
        <w:t xml:space="preserve"> </w:t>
      </w:r>
    </w:p>
    <w:p w14:paraId="6F6E952C">
      <w:pPr>
        <w:pStyle w:val="31"/>
        <w:spacing w:line="360" w:lineRule="auto"/>
        <w:ind w:left="0" w:leftChars="0" w:firstLine="0" w:firstLineChars="0"/>
        <w:rPr>
          <w:rFonts w:hint="eastAsia" w:ascii="宋体" w:hAnsi="宋体"/>
          <w:b/>
          <w:bCs/>
          <w:highlight w:val="none"/>
        </w:rPr>
      </w:pPr>
      <w:r>
        <w:rPr>
          <w:rFonts w:hint="eastAsia" w:ascii="宋体" w:hAnsi="宋体"/>
          <w:bCs/>
          <w:highlight w:val="none"/>
        </w:rPr>
        <w:t>项目名称</w:t>
      </w:r>
      <w:r>
        <w:rPr>
          <w:rFonts w:hint="eastAsia" w:ascii="宋体" w:hAnsi="宋体"/>
          <w:b/>
          <w:bCs/>
          <w:highlight w:val="none"/>
        </w:rPr>
        <w:t>：</w:t>
      </w:r>
      <w:r>
        <w:rPr>
          <w:rFonts w:hint="eastAsia" w:ascii="宋体" w:hAnsi="宋体"/>
          <w:highlight w:val="none"/>
        </w:rPr>
        <w:t>_______________________</w:t>
      </w:r>
      <w:r>
        <w:rPr>
          <w:rFonts w:hint="eastAsia" w:ascii="宋体" w:hAnsi="宋体"/>
          <w:bCs/>
          <w:highlight w:val="none"/>
          <w:u w:val="single"/>
        </w:rPr>
        <w:t xml:space="preserve"> </w:t>
      </w:r>
      <w:r>
        <w:rPr>
          <w:rFonts w:hint="eastAsia" w:ascii="宋体" w:hAnsi="宋体"/>
          <w:bCs/>
          <w:highlight w:val="none"/>
        </w:rPr>
        <w:t xml:space="preserve">                  </w:t>
      </w:r>
      <w:r>
        <w:rPr>
          <w:rFonts w:hint="eastAsia" w:ascii="宋体" w:hAnsi="宋体"/>
          <w:highlight w:val="none"/>
          <w:lang w:val="en-US" w:eastAsia="zh-CN"/>
        </w:rPr>
        <w:t>包号：</w:t>
      </w:r>
      <w:r>
        <w:rPr>
          <w:rFonts w:hint="eastAsia" w:ascii="宋体" w:hAnsi="宋体"/>
          <w:highlight w:val="none"/>
        </w:rPr>
        <w:t>___________</w:t>
      </w:r>
      <w:r>
        <w:rPr>
          <w:rFonts w:hint="eastAsia" w:ascii="宋体" w:hAnsi="宋体"/>
          <w:highlight w:val="none"/>
          <w:lang w:val="en-US" w:eastAsia="zh-CN"/>
        </w:rPr>
        <w:t xml:space="preserve"> </w:t>
      </w:r>
      <w:r>
        <w:rPr>
          <w:rFonts w:hint="eastAsia" w:ascii="宋体" w:hAnsi="宋体"/>
          <w:bCs/>
          <w:highlight w:val="none"/>
          <w:u w:val="single"/>
        </w:rPr>
        <w:t xml:space="preserve"> </w:t>
      </w:r>
      <w:r>
        <w:rPr>
          <w:rFonts w:hint="eastAsia" w:ascii="宋体" w:hAnsi="宋体"/>
          <w:bCs/>
          <w:highlight w:val="none"/>
          <w:u w:val="none"/>
        </w:rPr>
        <w:t xml:space="preserve"> </w:t>
      </w:r>
      <w:r>
        <w:rPr>
          <w:rFonts w:hint="eastAsia" w:ascii="宋体" w:hAnsi="宋体"/>
          <w:bCs/>
          <w:highlight w:val="none"/>
          <w:u w:val="none"/>
          <w:lang w:val="en-US" w:eastAsia="zh-CN"/>
        </w:rPr>
        <w:t xml:space="preserve">  </w:t>
      </w:r>
      <w:r>
        <w:rPr>
          <w:rFonts w:hint="eastAsia" w:ascii="宋体" w:hAnsi="宋体"/>
          <w:bCs/>
          <w:highlight w:val="none"/>
        </w:rPr>
        <w:t xml:space="preserve">                                 </w:t>
      </w:r>
    </w:p>
    <w:tbl>
      <w:tblPr>
        <w:tblStyle w:val="75"/>
        <w:tblW w:w="556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5"/>
        <w:gridCol w:w="1464"/>
        <w:gridCol w:w="1315"/>
        <w:gridCol w:w="1900"/>
        <w:gridCol w:w="2102"/>
        <w:gridCol w:w="941"/>
        <w:gridCol w:w="941"/>
        <w:gridCol w:w="51"/>
        <w:gridCol w:w="941"/>
      </w:tblGrid>
      <w:tr w14:paraId="7B05D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309" w:type="pct"/>
            <w:tcBorders>
              <w:top w:val="single" w:color="auto" w:sz="12" w:space="0"/>
              <w:left w:val="single" w:color="auto" w:sz="12" w:space="0"/>
              <w:bottom w:val="single" w:color="auto" w:sz="6" w:space="0"/>
              <w:right w:val="single" w:color="auto" w:sz="4" w:space="0"/>
            </w:tcBorders>
            <w:noWrap w:val="0"/>
            <w:vAlign w:val="center"/>
          </w:tcPr>
          <w:p w14:paraId="3719938E">
            <w:pPr>
              <w:widowControl/>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711" w:type="pct"/>
            <w:tcBorders>
              <w:top w:val="single" w:color="auto" w:sz="12" w:space="0"/>
              <w:left w:val="single" w:color="auto" w:sz="4" w:space="0"/>
              <w:bottom w:val="single" w:color="auto" w:sz="6" w:space="0"/>
              <w:right w:val="single" w:color="auto" w:sz="4" w:space="0"/>
            </w:tcBorders>
            <w:noWrap w:val="0"/>
            <w:vAlign w:val="center"/>
          </w:tcPr>
          <w:p w14:paraId="5792E969">
            <w:pPr>
              <w:widowControl/>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服务名称</w:t>
            </w:r>
          </w:p>
        </w:tc>
        <w:tc>
          <w:tcPr>
            <w:tcW w:w="639" w:type="pct"/>
            <w:tcBorders>
              <w:top w:val="single" w:color="auto" w:sz="12" w:space="0"/>
              <w:left w:val="single" w:color="auto" w:sz="4" w:space="0"/>
              <w:bottom w:val="single" w:color="auto" w:sz="6" w:space="0"/>
              <w:right w:val="single" w:color="auto" w:sz="4" w:space="0"/>
            </w:tcBorders>
            <w:noWrap w:val="0"/>
            <w:vAlign w:val="center"/>
          </w:tcPr>
          <w:p w14:paraId="00453F52">
            <w:pPr>
              <w:widowControl/>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岗位人数</w:t>
            </w:r>
          </w:p>
        </w:tc>
        <w:tc>
          <w:tcPr>
            <w:tcW w:w="922" w:type="pct"/>
            <w:tcBorders>
              <w:top w:val="single" w:color="auto" w:sz="12" w:space="0"/>
              <w:left w:val="single" w:color="auto" w:sz="4" w:space="0"/>
              <w:bottom w:val="single" w:color="auto" w:sz="6" w:space="0"/>
              <w:right w:val="single" w:color="auto" w:sz="6" w:space="0"/>
            </w:tcBorders>
            <w:noWrap w:val="0"/>
            <w:vAlign w:val="center"/>
          </w:tcPr>
          <w:p w14:paraId="175FC015">
            <w:pPr>
              <w:widowControl/>
              <w:spacing w:line="5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时间</w:t>
            </w:r>
          </w:p>
        </w:tc>
        <w:tc>
          <w:tcPr>
            <w:tcW w:w="1021" w:type="pct"/>
            <w:tcBorders>
              <w:top w:val="single" w:color="auto" w:sz="12" w:space="0"/>
              <w:left w:val="single" w:color="auto" w:sz="6" w:space="0"/>
              <w:bottom w:val="single" w:color="auto" w:sz="6" w:space="0"/>
              <w:right w:val="single" w:color="auto" w:sz="4" w:space="0"/>
            </w:tcBorders>
            <w:noWrap w:val="0"/>
            <w:vAlign w:val="center"/>
          </w:tcPr>
          <w:p w14:paraId="24292644">
            <w:pPr>
              <w:widowControl/>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人员工资（标准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元/月或天/人）</w:t>
            </w:r>
          </w:p>
        </w:tc>
        <w:tc>
          <w:tcPr>
            <w:tcW w:w="457" w:type="pct"/>
            <w:tcBorders>
              <w:top w:val="single" w:color="auto" w:sz="12" w:space="0"/>
              <w:left w:val="single" w:color="auto" w:sz="4" w:space="0"/>
              <w:bottom w:val="single" w:color="auto" w:sz="6" w:space="0"/>
              <w:right w:val="single" w:color="auto" w:sz="4" w:space="0"/>
            </w:tcBorders>
            <w:noWrap w:val="0"/>
            <w:vAlign w:val="center"/>
          </w:tcPr>
          <w:p w14:paraId="1F3F6080">
            <w:pPr>
              <w:widowControl/>
              <w:spacing w:line="56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单位</w:t>
            </w:r>
          </w:p>
        </w:tc>
        <w:tc>
          <w:tcPr>
            <w:tcW w:w="457" w:type="pct"/>
            <w:tcBorders>
              <w:top w:val="single" w:color="auto" w:sz="12" w:space="0"/>
              <w:left w:val="single" w:color="auto" w:sz="4" w:space="0"/>
              <w:bottom w:val="single" w:color="auto" w:sz="6" w:space="0"/>
              <w:right w:val="single" w:color="auto" w:sz="4" w:space="0"/>
            </w:tcBorders>
            <w:noWrap w:val="0"/>
            <w:vAlign w:val="center"/>
          </w:tcPr>
          <w:p w14:paraId="2BF617E9">
            <w:pPr>
              <w:widowControl/>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合计</w:t>
            </w:r>
          </w:p>
        </w:tc>
        <w:tc>
          <w:tcPr>
            <w:tcW w:w="480" w:type="pct"/>
            <w:gridSpan w:val="2"/>
            <w:tcBorders>
              <w:top w:val="single" w:color="auto" w:sz="12" w:space="0"/>
              <w:left w:val="single" w:color="auto" w:sz="4" w:space="0"/>
              <w:bottom w:val="single" w:color="auto" w:sz="6" w:space="0"/>
              <w:right w:val="single" w:color="auto" w:sz="6" w:space="0"/>
            </w:tcBorders>
            <w:noWrap w:val="0"/>
            <w:vAlign w:val="center"/>
          </w:tcPr>
          <w:p w14:paraId="14D0F93D">
            <w:pPr>
              <w:widowControl/>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备注</w:t>
            </w:r>
          </w:p>
        </w:tc>
      </w:tr>
      <w:tr w14:paraId="55C158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309" w:type="pct"/>
            <w:tcBorders>
              <w:top w:val="single" w:color="auto" w:sz="6" w:space="0"/>
              <w:left w:val="single" w:color="auto" w:sz="12" w:space="0"/>
              <w:bottom w:val="single" w:color="auto" w:sz="6" w:space="0"/>
              <w:right w:val="single" w:color="auto" w:sz="4" w:space="0"/>
            </w:tcBorders>
            <w:noWrap w:val="0"/>
            <w:vAlign w:val="center"/>
          </w:tcPr>
          <w:p w14:paraId="74A42B69">
            <w:pPr>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711" w:type="pct"/>
            <w:tcBorders>
              <w:top w:val="single" w:color="auto" w:sz="6" w:space="0"/>
              <w:left w:val="single" w:color="auto" w:sz="4" w:space="0"/>
              <w:bottom w:val="single" w:color="auto" w:sz="6" w:space="0"/>
              <w:right w:val="single" w:color="auto" w:sz="4" w:space="0"/>
            </w:tcBorders>
            <w:noWrap w:val="0"/>
            <w:vAlign w:val="center"/>
          </w:tcPr>
          <w:p w14:paraId="1FA732B2">
            <w:pPr>
              <w:widowControl/>
              <w:spacing w:line="560" w:lineRule="exact"/>
              <w:jc w:val="center"/>
              <w:textAlignment w:val="center"/>
              <w:rPr>
                <w:rFonts w:hint="eastAsia" w:ascii="宋体" w:hAnsi="宋体" w:cs="宋体"/>
                <w:color w:val="auto"/>
                <w:szCs w:val="21"/>
                <w:highlight w:val="none"/>
              </w:rPr>
            </w:pPr>
          </w:p>
        </w:tc>
        <w:tc>
          <w:tcPr>
            <w:tcW w:w="639" w:type="pct"/>
            <w:tcBorders>
              <w:top w:val="single" w:color="auto" w:sz="6" w:space="0"/>
              <w:left w:val="single" w:color="auto" w:sz="4" w:space="0"/>
              <w:bottom w:val="single" w:color="auto" w:sz="6" w:space="0"/>
              <w:right w:val="single" w:color="auto" w:sz="4" w:space="0"/>
            </w:tcBorders>
            <w:noWrap w:val="0"/>
            <w:vAlign w:val="center"/>
          </w:tcPr>
          <w:p w14:paraId="57BD51CD">
            <w:pPr>
              <w:widowControl/>
              <w:spacing w:line="560" w:lineRule="exact"/>
              <w:jc w:val="center"/>
              <w:textAlignment w:val="center"/>
              <w:rPr>
                <w:rFonts w:hint="eastAsia" w:ascii="宋体" w:hAnsi="宋体" w:cs="宋体"/>
                <w:color w:val="auto"/>
                <w:szCs w:val="21"/>
                <w:highlight w:val="none"/>
              </w:rPr>
            </w:pPr>
          </w:p>
        </w:tc>
        <w:tc>
          <w:tcPr>
            <w:tcW w:w="922" w:type="pct"/>
            <w:tcBorders>
              <w:top w:val="single" w:color="auto" w:sz="6" w:space="0"/>
              <w:left w:val="single" w:color="auto" w:sz="4" w:space="0"/>
              <w:bottom w:val="single" w:color="auto" w:sz="6" w:space="0"/>
              <w:right w:val="single" w:color="auto" w:sz="6" w:space="0"/>
            </w:tcBorders>
            <w:noWrap w:val="0"/>
            <w:vAlign w:val="center"/>
          </w:tcPr>
          <w:p w14:paraId="6D06C5BD">
            <w:pPr>
              <w:widowControl/>
              <w:spacing w:line="560" w:lineRule="exact"/>
              <w:jc w:val="center"/>
              <w:textAlignment w:val="center"/>
              <w:rPr>
                <w:rFonts w:hint="eastAsia" w:ascii="宋体" w:hAnsi="宋体" w:cs="宋体"/>
                <w:color w:val="auto"/>
                <w:szCs w:val="21"/>
                <w:highlight w:val="none"/>
              </w:rPr>
            </w:pPr>
          </w:p>
        </w:tc>
        <w:tc>
          <w:tcPr>
            <w:tcW w:w="1021" w:type="pct"/>
            <w:tcBorders>
              <w:top w:val="single" w:color="auto" w:sz="6" w:space="0"/>
              <w:left w:val="single" w:color="auto" w:sz="6" w:space="0"/>
              <w:bottom w:val="single" w:color="auto" w:sz="6" w:space="0"/>
              <w:right w:val="single" w:color="auto" w:sz="4" w:space="0"/>
            </w:tcBorders>
            <w:noWrap w:val="0"/>
            <w:vAlign w:val="center"/>
          </w:tcPr>
          <w:p w14:paraId="2AA4C0C2">
            <w:pPr>
              <w:widowControl/>
              <w:spacing w:line="560" w:lineRule="exact"/>
              <w:jc w:val="center"/>
              <w:textAlignment w:val="center"/>
              <w:rPr>
                <w:rFonts w:hint="eastAsia" w:ascii="宋体" w:hAnsi="宋体" w:cs="宋体"/>
                <w:color w:val="auto"/>
                <w:kern w:val="0"/>
                <w:szCs w:val="21"/>
                <w:highlight w:val="none"/>
              </w:rPr>
            </w:pPr>
          </w:p>
        </w:tc>
        <w:tc>
          <w:tcPr>
            <w:tcW w:w="457" w:type="pct"/>
            <w:tcBorders>
              <w:top w:val="single" w:color="auto" w:sz="6" w:space="0"/>
              <w:left w:val="single" w:color="auto" w:sz="4" w:space="0"/>
              <w:bottom w:val="single" w:color="auto" w:sz="6" w:space="0"/>
              <w:right w:val="single" w:color="auto" w:sz="4" w:space="0"/>
            </w:tcBorders>
            <w:noWrap w:val="0"/>
            <w:vAlign w:val="center"/>
          </w:tcPr>
          <w:p w14:paraId="40A5E8AA">
            <w:pPr>
              <w:widowControl/>
              <w:spacing w:line="560" w:lineRule="exact"/>
              <w:jc w:val="center"/>
              <w:textAlignment w:val="center"/>
              <w:rPr>
                <w:rFonts w:hint="eastAsia" w:ascii="宋体" w:hAnsi="宋体" w:cs="宋体"/>
                <w:color w:val="auto"/>
                <w:kern w:val="0"/>
                <w:szCs w:val="21"/>
                <w:highlight w:val="none"/>
              </w:rPr>
            </w:pPr>
          </w:p>
        </w:tc>
        <w:tc>
          <w:tcPr>
            <w:tcW w:w="457" w:type="pct"/>
            <w:tcBorders>
              <w:top w:val="single" w:color="auto" w:sz="6" w:space="0"/>
              <w:left w:val="single" w:color="auto" w:sz="4" w:space="0"/>
              <w:bottom w:val="single" w:color="auto" w:sz="6" w:space="0"/>
              <w:right w:val="single" w:color="auto" w:sz="4" w:space="0"/>
            </w:tcBorders>
            <w:noWrap w:val="0"/>
            <w:vAlign w:val="center"/>
          </w:tcPr>
          <w:p w14:paraId="24474FB2">
            <w:pPr>
              <w:widowControl/>
              <w:spacing w:line="560" w:lineRule="exact"/>
              <w:jc w:val="center"/>
              <w:rPr>
                <w:rFonts w:hint="eastAsia" w:ascii="宋体" w:hAnsi="宋体" w:cs="宋体"/>
                <w:color w:val="auto"/>
                <w:sz w:val="24"/>
                <w:highlight w:val="none"/>
              </w:rPr>
            </w:pPr>
          </w:p>
        </w:tc>
        <w:tc>
          <w:tcPr>
            <w:tcW w:w="480" w:type="pct"/>
            <w:gridSpan w:val="2"/>
            <w:tcBorders>
              <w:top w:val="single" w:color="auto" w:sz="6" w:space="0"/>
              <w:left w:val="single" w:color="auto" w:sz="4" w:space="0"/>
              <w:bottom w:val="single" w:color="auto" w:sz="6" w:space="0"/>
              <w:right w:val="single" w:color="auto" w:sz="6" w:space="0"/>
            </w:tcBorders>
            <w:noWrap w:val="0"/>
            <w:vAlign w:val="center"/>
          </w:tcPr>
          <w:p w14:paraId="61A1E7D2">
            <w:pPr>
              <w:widowControl/>
              <w:spacing w:line="560" w:lineRule="exact"/>
              <w:jc w:val="center"/>
              <w:textAlignment w:val="center"/>
              <w:rPr>
                <w:rFonts w:hint="eastAsia" w:ascii="宋体" w:hAnsi="宋体" w:cs="宋体"/>
                <w:color w:val="auto"/>
                <w:kern w:val="0"/>
                <w:szCs w:val="21"/>
                <w:highlight w:val="none"/>
              </w:rPr>
            </w:pPr>
          </w:p>
        </w:tc>
      </w:tr>
      <w:tr w14:paraId="636B64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309" w:type="pct"/>
            <w:tcBorders>
              <w:top w:val="single" w:color="auto" w:sz="6" w:space="0"/>
              <w:left w:val="single" w:color="auto" w:sz="12" w:space="0"/>
              <w:bottom w:val="single" w:color="auto" w:sz="6" w:space="0"/>
              <w:right w:val="single" w:color="auto" w:sz="4" w:space="0"/>
            </w:tcBorders>
            <w:noWrap w:val="0"/>
            <w:vAlign w:val="center"/>
          </w:tcPr>
          <w:p w14:paraId="577AB5B8">
            <w:pPr>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711" w:type="pct"/>
            <w:tcBorders>
              <w:top w:val="single" w:color="auto" w:sz="6" w:space="0"/>
              <w:left w:val="single" w:color="auto" w:sz="4" w:space="0"/>
              <w:bottom w:val="single" w:color="auto" w:sz="6" w:space="0"/>
              <w:right w:val="single" w:color="auto" w:sz="4" w:space="0"/>
            </w:tcBorders>
            <w:noWrap w:val="0"/>
            <w:vAlign w:val="center"/>
          </w:tcPr>
          <w:p w14:paraId="06592A51">
            <w:pPr>
              <w:widowControl/>
              <w:spacing w:line="560" w:lineRule="exact"/>
              <w:jc w:val="center"/>
              <w:textAlignment w:val="center"/>
              <w:rPr>
                <w:rFonts w:hint="eastAsia" w:ascii="宋体" w:hAnsi="宋体" w:cs="宋体"/>
                <w:color w:val="auto"/>
                <w:szCs w:val="21"/>
                <w:highlight w:val="none"/>
              </w:rPr>
            </w:pPr>
          </w:p>
        </w:tc>
        <w:tc>
          <w:tcPr>
            <w:tcW w:w="639" w:type="pct"/>
            <w:tcBorders>
              <w:top w:val="single" w:color="auto" w:sz="6" w:space="0"/>
              <w:left w:val="single" w:color="auto" w:sz="4" w:space="0"/>
              <w:bottom w:val="single" w:color="auto" w:sz="6" w:space="0"/>
              <w:right w:val="single" w:color="auto" w:sz="4" w:space="0"/>
            </w:tcBorders>
            <w:noWrap w:val="0"/>
            <w:vAlign w:val="center"/>
          </w:tcPr>
          <w:p w14:paraId="215C609A">
            <w:pPr>
              <w:widowControl/>
              <w:spacing w:line="560" w:lineRule="exact"/>
              <w:jc w:val="center"/>
              <w:textAlignment w:val="center"/>
              <w:rPr>
                <w:rFonts w:hint="eastAsia" w:ascii="宋体" w:hAnsi="宋体" w:cs="宋体"/>
                <w:color w:val="auto"/>
                <w:szCs w:val="21"/>
                <w:highlight w:val="none"/>
              </w:rPr>
            </w:pPr>
          </w:p>
        </w:tc>
        <w:tc>
          <w:tcPr>
            <w:tcW w:w="922" w:type="pct"/>
            <w:tcBorders>
              <w:top w:val="single" w:color="auto" w:sz="6" w:space="0"/>
              <w:left w:val="single" w:color="auto" w:sz="4" w:space="0"/>
              <w:bottom w:val="single" w:color="auto" w:sz="6" w:space="0"/>
              <w:right w:val="single" w:color="auto" w:sz="6" w:space="0"/>
            </w:tcBorders>
            <w:noWrap w:val="0"/>
            <w:vAlign w:val="center"/>
          </w:tcPr>
          <w:p w14:paraId="6E8CB659">
            <w:pPr>
              <w:widowControl/>
              <w:spacing w:line="560" w:lineRule="exact"/>
              <w:jc w:val="center"/>
              <w:textAlignment w:val="center"/>
              <w:rPr>
                <w:rFonts w:hint="eastAsia" w:ascii="宋体" w:hAnsi="宋体" w:cs="宋体"/>
                <w:color w:val="auto"/>
                <w:szCs w:val="21"/>
                <w:highlight w:val="none"/>
              </w:rPr>
            </w:pPr>
          </w:p>
        </w:tc>
        <w:tc>
          <w:tcPr>
            <w:tcW w:w="1021" w:type="pct"/>
            <w:tcBorders>
              <w:top w:val="single" w:color="auto" w:sz="6" w:space="0"/>
              <w:left w:val="single" w:color="auto" w:sz="6" w:space="0"/>
              <w:bottom w:val="single" w:color="auto" w:sz="6" w:space="0"/>
              <w:right w:val="single" w:color="auto" w:sz="4" w:space="0"/>
            </w:tcBorders>
            <w:noWrap w:val="0"/>
            <w:vAlign w:val="center"/>
          </w:tcPr>
          <w:p w14:paraId="3D6287F1">
            <w:pPr>
              <w:widowControl/>
              <w:spacing w:line="560" w:lineRule="exact"/>
              <w:jc w:val="center"/>
              <w:textAlignment w:val="center"/>
              <w:rPr>
                <w:rFonts w:hint="eastAsia" w:ascii="宋体" w:hAnsi="宋体" w:cs="宋体"/>
                <w:color w:val="auto"/>
                <w:kern w:val="0"/>
                <w:szCs w:val="21"/>
                <w:highlight w:val="none"/>
              </w:rPr>
            </w:pPr>
          </w:p>
        </w:tc>
        <w:tc>
          <w:tcPr>
            <w:tcW w:w="457" w:type="pct"/>
            <w:tcBorders>
              <w:top w:val="single" w:color="auto" w:sz="6" w:space="0"/>
              <w:left w:val="single" w:color="auto" w:sz="4" w:space="0"/>
              <w:bottom w:val="single" w:color="auto" w:sz="6" w:space="0"/>
              <w:right w:val="single" w:color="auto" w:sz="4" w:space="0"/>
            </w:tcBorders>
            <w:noWrap w:val="0"/>
            <w:vAlign w:val="center"/>
          </w:tcPr>
          <w:p w14:paraId="6810C652">
            <w:pPr>
              <w:widowControl/>
              <w:spacing w:line="560" w:lineRule="exact"/>
              <w:jc w:val="center"/>
              <w:textAlignment w:val="center"/>
              <w:rPr>
                <w:rFonts w:hint="eastAsia" w:ascii="宋体" w:hAnsi="宋体" w:cs="宋体"/>
                <w:color w:val="auto"/>
                <w:kern w:val="0"/>
                <w:szCs w:val="21"/>
                <w:highlight w:val="none"/>
              </w:rPr>
            </w:pPr>
          </w:p>
        </w:tc>
        <w:tc>
          <w:tcPr>
            <w:tcW w:w="457" w:type="pct"/>
            <w:tcBorders>
              <w:top w:val="single" w:color="auto" w:sz="6" w:space="0"/>
              <w:left w:val="single" w:color="auto" w:sz="4" w:space="0"/>
              <w:bottom w:val="single" w:color="auto" w:sz="6" w:space="0"/>
              <w:right w:val="single" w:color="auto" w:sz="4" w:space="0"/>
            </w:tcBorders>
            <w:noWrap w:val="0"/>
            <w:vAlign w:val="center"/>
          </w:tcPr>
          <w:p w14:paraId="7BF42A72">
            <w:pPr>
              <w:widowControl/>
              <w:spacing w:line="560" w:lineRule="exact"/>
              <w:jc w:val="center"/>
              <w:rPr>
                <w:rFonts w:hint="eastAsia" w:ascii="宋体" w:hAnsi="宋体" w:cs="宋体"/>
                <w:color w:val="auto"/>
                <w:sz w:val="24"/>
                <w:highlight w:val="none"/>
              </w:rPr>
            </w:pPr>
          </w:p>
        </w:tc>
        <w:tc>
          <w:tcPr>
            <w:tcW w:w="480" w:type="pct"/>
            <w:gridSpan w:val="2"/>
            <w:tcBorders>
              <w:top w:val="single" w:color="auto" w:sz="6" w:space="0"/>
              <w:left w:val="single" w:color="auto" w:sz="4" w:space="0"/>
              <w:bottom w:val="single" w:color="auto" w:sz="6" w:space="0"/>
              <w:right w:val="single" w:color="auto" w:sz="6" w:space="0"/>
            </w:tcBorders>
            <w:noWrap w:val="0"/>
            <w:vAlign w:val="center"/>
          </w:tcPr>
          <w:p w14:paraId="139A2F52">
            <w:pPr>
              <w:widowControl/>
              <w:spacing w:line="560" w:lineRule="exact"/>
              <w:jc w:val="center"/>
              <w:textAlignment w:val="center"/>
              <w:rPr>
                <w:rFonts w:hint="eastAsia" w:ascii="宋体" w:hAnsi="宋体" w:cs="宋体"/>
                <w:color w:val="auto"/>
                <w:kern w:val="0"/>
                <w:szCs w:val="21"/>
                <w:highlight w:val="none"/>
              </w:rPr>
            </w:pPr>
          </w:p>
        </w:tc>
      </w:tr>
      <w:tr w14:paraId="4FAC99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309" w:type="pct"/>
            <w:tcBorders>
              <w:top w:val="single" w:color="auto" w:sz="6" w:space="0"/>
              <w:left w:val="single" w:color="auto" w:sz="12" w:space="0"/>
              <w:bottom w:val="single" w:color="auto" w:sz="6" w:space="0"/>
              <w:right w:val="single" w:color="auto" w:sz="4" w:space="0"/>
            </w:tcBorders>
            <w:noWrap w:val="0"/>
            <w:vAlign w:val="center"/>
          </w:tcPr>
          <w:p w14:paraId="7D08F617">
            <w:pPr>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711" w:type="pct"/>
            <w:tcBorders>
              <w:top w:val="single" w:color="auto" w:sz="6" w:space="0"/>
              <w:left w:val="single" w:color="auto" w:sz="4" w:space="0"/>
              <w:bottom w:val="single" w:color="auto" w:sz="6" w:space="0"/>
              <w:right w:val="single" w:color="auto" w:sz="4" w:space="0"/>
            </w:tcBorders>
            <w:noWrap w:val="0"/>
            <w:vAlign w:val="center"/>
          </w:tcPr>
          <w:p w14:paraId="6DD30B42">
            <w:pPr>
              <w:widowControl/>
              <w:spacing w:line="560" w:lineRule="exact"/>
              <w:jc w:val="center"/>
              <w:textAlignment w:val="center"/>
              <w:rPr>
                <w:rFonts w:hint="eastAsia" w:ascii="宋体" w:hAnsi="宋体" w:cs="宋体"/>
                <w:color w:val="auto"/>
                <w:szCs w:val="21"/>
                <w:highlight w:val="none"/>
              </w:rPr>
            </w:pPr>
          </w:p>
        </w:tc>
        <w:tc>
          <w:tcPr>
            <w:tcW w:w="639" w:type="pct"/>
            <w:tcBorders>
              <w:top w:val="single" w:color="auto" w:sz="6" w:space="0"/>
              <w:left w:val="single" w:color="auto" w:sz="4" w:space="0"/>
              <w:bottom w:val="single" w:color="auto" w:sz="6" w:space="0"/>
              <w:right w:val="single" w:color="auto" w:sz="4" w:space="0"/>
            </w:tcBorders>
            <w:noWrap w:val="0"/>
            <w:vAlign w:val="center"/>
          </w:tcPr>
          <w:p w14:paraId="4F14B1B3">
            <w:pPr>
              <w:widowControl/>
              <w:spacing w:line="560" w:lineRule="exact"/>
              <w:jc w:val="center"/>
              <w:textAlignment w:val="center"/>
              <w:rPr>
                <w:rFonts w:hint="eastAsia" w:ascii="宋体" w:hAnsi="宋体" w:cs="宋体"/>
                <w:color w:val="auto"/>
                <w:szCs w:val="21"/>
                <w:highlight w:val="none"/>
              </w:rPr>
            </w:pPr>
          </w:p>
        </w:tc>
        <w:tc>
          <w:tcPr>
            <w:tcW w:w="922" w:type="pct"/>
            <w:tcBorders>
              <w:top w:val="single" w:color="auto" w:sz="6" w:space="0"/>
              <w:left w:val="single" w:color="auto" w:sz="4" w:space="0"/>
              <w:bottom w:val="single" w:color="auto" w:sz="6" w:space="0"/>
              <w:right w:val="single" w:color="auto" w:sz="6" w:space="0"/>
            </w:tcBorders>
            <w:noWrap w:val="0"/>
            <w:vAlign w:val="center"/>
          </w:tcPr>
          <w:p w14:paraId="3D4D9406">
            <w:pPr>
              <w:widowControl/>
              <w:spacing w:line="560" w:lineRule="exact"/>
              <w:jc w:val="center"/>
              <w:textAlignment w:val="center"/>
              <w:rPr>
                <w:rFonts w:hint="eastAsia" w:ascii="宋体" w:hAnsi="宋体" w:cs="宋体"/>
                <w:color w:val="auto"/>
                <w:szCs w:val="21"/>
                <w:highlight w:val="none"/>
              </w:rPr>
            </w:pPr>
          </w:p>
        </w:tc>
        <w:tc>
          <w:tcPr>
            <w:tcW w:w="1021" w:type="pct"/>
            <w:tcBorders>
              <w:top w:val="single" w:color="auto" w:sz="6" w:space="0"/>
              <w:left w:val="single" w:color="auto" w:sz="6" w:space="0"/>
              <w:bottom w:val="single" w:color="auto" w:sz="6" w:space="0"/>
              <w:right w:val="single" w:color="auto" w:sz="4" w:space="0"/>
            </w:tcBorders>
            <w:noWrap w:val="0"/>
            <w:vAlign w:val="center"/>
          </w:tcPr>
          <w:p w14:paraId="36260220">
            <w:pPr>
              <w:widowControl/>
              <w:spacing w:line="560" w:lineRule="exact"/>
              <w:jc w:val="center"/>
              <w:textAlignment w:val="center"/>
              <w:rPr>
                <w:rFonts w:hint="eastAsia" w:ascii="宋体" w:hAnsi="宋体" w:cs="宋体"/>
                <w:color w:val="auto"/>
                <w:kern w:val="0"/>
                <w:szCs w:val="21"/>
                <w:highlight w:val="none"/>
              </w:rPr>
            </w:pPr>
          </w:p>
        </w:tc>
        <w:tc>
          <w:tcPr>
            <w:tcW w:w="457" w:type="pct"/>
            <w:tcBorders>
              <w:top w:val="single" w:color="auto" w:sz="6" w:space="0"/>
              <w:left w:val="single" w:color="auto" w:sz="4" w:space="0"/>
              <w:bottom w:val="single" w:color="auto" w:sz="6" w:space="0"/>
              <w:right w:val="single" w:color="auto" w:sz="4" w:space="0"/>
            </w:tcBorders>
            <w:noWrap w:val="0"/>
            <w:vAlign w:val="center"/>
          </w:tcPr>
          <w:p w14:paraId="6AC9CB31">
            <w:pPr>
              <w:widowControl/>
              <w:spacing w:line="560" w:lineRule="exact"/>
              <w:jc w:val="center"/>
              <w:textAlignment w:val="center"/>
              <w:rPr>
                <w:rFonts w:hint="eastAsia" w:ascii="宋体" w:hAnsi="宋体" w:cs="宋体"/>
                <w:color w:val="auto"/>
                <w:kern w:val="0"/>
                <w:szCs w:val="21"/>
                <w:highlight w:val="none"/>
              </w:rPr>
            </w:pPr>
          </w:p>
        </w:tc>
        <w:tc>
          <w:tcPr>
            <w:tcW w:w="457" w:type="pct"/>
            <w:tcBorders>
              <w:top w:val="single" w:color="auto" w:sz="6" w:space="0"/>
              <w:left w:val="single" w:color="auto" w:sz="4" w:space="0"/>
              <w:bottom w:val="single" w:color="auto" w:sz="6" w:space="0"/>
              <w:right w:val="single" w:color="auto" w:sz="4" w:space="0"/>
            </w:tcBorders>
            <w:noWrap w:val="0"/>
            <w:vAlign w:val="center"/>
          </w:tcPr>
          <w:p w14:paraId="69F8ED17">
            <w:pPr>
              <w:widowControl/>
              <w:spacing w:line="560" w:lineRule="exact"/>
              <w:jc w:val="center"/>
              <w:rPr>
                <w:rFonts w:hint="eastAsia" w:ascii="宋体" w:hAnsi="宋体" w:cs="宋体"/>
                <w:color w:val="auto"/>
                <w:sz w:val="24"/>
                <w:highlight w:val="none"/>
              </w:rPr>
            </w:pPr>
          </w:p>
        </w:tc>
        <w:tc>
          <w:tcPr>
            <w:tcW w:w="480" w:type="pct"/>
            <w:gridSpan w:val="2"/>
            <w:tcBorders>
              <w:top w:val="single" w:color="auto" w:sz="6" w:space="0"/>
              <w:left w:val="single" w:color="auto" w:sz="4" w:space="0"/>
              <w:bottom w:val="single" w:color="auto" w:sz="6" w:space="0"/>
              <w:right w:val="single" w:color="auto" w:sz="6" w:space="0"/>
            </w:tcBorders>
            <w:noWrap w:val="0"/>
            <w:vAlign w:val="center"/>
          </w:tcPr>
          <w:p w14:paraId="1EEE75D6">
            <w:pPr>
              <w:widowControl/>
              <w:spacing w:line="560" w:lineRule="exact"/>
              <w:jc w:val="center"/>
              <w:textAlignment w:val="center"/>
              <w:rPr>
                <w:rFonts w:hint="eastAsia" w:ascii="宋体" w:hAnsi="宋体" w:cs="宋体"/>
                <w:color w:val="auto"/>
                <w:kern w:val="0"/>
                <w:szCs w:val="21"/>
                <w:highlight w:val="none"/>
              </w:rPr>
            </w:pPr>
          </w:p>
        </w:tc>
      </w:tr>
      <w:tr w14:paraId="6C9470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94" w:hRule="atLeast"/>
          <w:jc w:val="center"/>
        </w:trPr>
        <w:tc>
          <w:tcPr>
            <w:tcW w:w="309" w:type="pct"/>
            <w:tcBorders>
              <w:top w:val="single" w:color="auto" w:sz="6" w:space="0"/>
              <w:left w:val="single" w:color="auto" w:sz="12" w:space="0"/>
              <w:bottom w:val="single" w:color="auto" w:sz="6" w:space="0"/>
              <w:right w:val="single" w:color="auto" w:sz="4" w:space="0"/>
            </w:tcBorders>
            <w:noWrap w:val="0"/>
            <w:vAlign w:val="center"/>
          </w:tcPr>
          <w:p w14:paraId="3EE33579">
            <w:pPr>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711" w:type="pct"/>
            <w:tcBorders>
              <w:top w:val="single" w:color="auto" w:sz="6" w:space="0"/>
              <w:left w:val="single" w:color="auto" w:sz="4" w:space="0"/>
              <w:bottom w:val="single" w:color="auto" w:sz="6" w:space="0"/>
              <w:right w:val="single" w:color="auto" w:sz="4" w:space="0"/>
            </w:tcBorders>
            <w:noWrap w:val="0"/>
            <w:vAlign w:val="center"/>
          </w:tcPr>
          <w:p w14:paraId="34BA8958">
            <w:pPr>
              <w:widowControl/>
              <w:spacing w:line="560" w:lineRule="exact"/>
              <w:jc w:val="center"/>
              <w:textAlignment w:val="center"/>
              <w:rPr>
                <w:rFonts w:hint="eastAsia" w:ascii="宋体" w:hAnsi="宋体" w:cs="宋体"/>
                <w:color w:val="auto"/>
                <w:szCs w:val="21"/>
                <w:highlight w:val="none"/>
              </w:rPr>
            </w:pPr>
          </w:p>
        </w:tc>
        <w:tc>
          <w:tcPr>
            <w:tcW w:w="639" w:type="pct"/>
            <w:tcBorders>
              <w:top w:val="single" w:color="auto" w:sz="6" w:space="0"/>
              <w:left w:val="single" w:color="auto" w:sz="4" w:space="0"/>
              <w:bottom w:val="single" w:color="auto" w:sz="6" w:space="0"/>
              <w:right w:val="single" w:color="auto" w:sz="4" w:space="0"/>
            </w:tcBorders>
            <w:noWrap w:val="0"/>
            <w:vAlign w:val="center"/>
          </w:tcPr>
          <w:p w14:paraId="7466D05B">
            <w:pPr>
              <w:widowControl/>
              <w:spacing w:line="560" w:lineRule="exact"/>
              <w:jc w:val="center"/>
              <w:textAlignment w:val="center"/>
              <w:rPr>
                <w:rFonts w:hint="eastAsia" w:ascii="宋体" w:hAnsi="宋体" w:cs="宋体"/>
                <w:color w:val="auto"/>
                <w:szCs w:val="21"/>
                <w:highlight w:val="none"/>
              </w:rPr>
            </w:pPr>
          </w:p>
        </w:tc>
        <w:tc>
          <w:tcPr>
            <w:tcW w:w="922" w:type="pct"/>
            <w:tcBorders>
              <w:top w:val="single" w:color="auto" w:sz="6" w:space="0"/>
              <w:left w:val="single" w:color="auto" w:sz="4" w:space="0"/>
              <w:bottom w:val="single" w:color="auto" w:sz="6" w:space="0"/>
              <w:right w:val="single" w:color="auto" w:sz="6" w:space="0"/>
            </w:tcBorders>
            <w:noWrap w:val="0"/>
            <w:vAlign w:val="center"/>
          </w:tcPr>
          <w:p w14:paraId="1D5AB56D">
            <w:pPr>
              <w:widowControl/>
              <w:spacing w:line="560" w:lineRule="exact"/>
              <w:jc w:val="center"/>
              <w:textAlignment w:val="center"/>
              <w:rPr>
                <w:rFonts w:hint="eastAsia" w:ascii="宋体" w:hAnsi="宋体" w:cs="宋体"/>
                <w:color w:val="auto"/>
                <w:szCs w:val="21"/>
                <w:highlight w:val="none"/>
              </w:rPr>
            </w:pPr>
          </w:p>
        </w:tc>
        <w:tc>
          <w:tcPr>
            <w:tcW w:w="1021" w:type="pct"/>
            <w:tcBorders>
              <w:top w:val="single" w:color="auto" w:sz="6" w:space="0"/>
              <w:left w:val="single" w:color="auto" w:sz="6" w:space="0"/>
              <w:bottom w:val="single" w:color="auto" w:sz="6" w:space="0"/>
              <w:right w:val="single" w:color="auto" w:sz="4" w:space="0"/>
            </w:tcBorders>
            <w:noWrap w:val="0"/>
            <w:vAlign w:val="center"/>
          </w:tcPr>
          <w:p w14:paraId="0159C3DB">
            <w:pPr>
              <w:widowControl/>
              <w:spacing w:line="560" w:lineRule="exact"/>
              <w:jc w:val="center"/>
              <w:textAlignment w:val="center"/>
              <w:rPr>
                <w:rFonts w:hint="eastAsia" w:ascii="宋体" w:hAnsi="宋体" w:cs="宋体"/>
                <w:color w:val="auto"/>
                <w:kern w:val="0"/>
                <w:szCs w:val="21"/>
                <w:highlight w:val="none"/>
              </w:rPr>
            </w:pPr>
          </w:p>
        </w:tc>
        <w:tc>
          <w:tcPr>
            <w:tcW w:w="457" w:type="pct"/>
            <w:tcBorders>
              <w:top w:val="single" w:color="auto" w:sz="6" w:space="0"/>
              <w:left w:val="single" w:color="auto" w:sz="4" w:space="0"/>
              <w:bottom w:val="single" w:color="auto" w:sz="6" w:space="0"/>
              <w:right w:val="single" w:color="auto" w:sz="4" w:space="0"/>
            </w:tcBorders>
            <w:noWrap w:val="0"/>
            <w:vAlign w:val="center"/>
          </w:tcPr>
          <w:p w14:paraId="28733899">
            <w:pPr>
              <w:widowControl/>
              <w:spacing w:line="560" w:lineRule="exact"/>
              <w:jc w:val="center"/>
              <w:textAlignment w:val="center"/>
              <w:rPr>
                <w:rFonts w:hint="eastAsia" w:ascii="宋体" w:hAnsi="宋体" w:cs="宋体"/>
                <w:color w:val="auto"/>
                <w:kern w:val="0"/>
                <w:szCs w:val="21"/>
                <w:highlight w:val="none"/>
              </w:rPr>
            </w:pPr>
          </w:p>
        </w:tc>
        <w:tc>
          <w:tcPr>
            <w:tcW w:w="457" w:type="pct"/>
            <w:tcBorders>
              <w:top w:val="single" w:color="auto" w:sz="6" w:space="0"/>
              <w:left w:val="single" w:color="auto" w:sz="4" w:space="0"/>
              <w:bottom w:val="single" w:color="auto" w:sz="6" w:space="0"/>
              <w:right w:val="single" w:color="auto" w:sz="4" w:space="0"/>
            </w:tcBorders>
            <w:noWrap w:val="0"/>
            <w:vAlign w:val="center"/>
          </w:tcPr>
          <w:p w14:paraId="1C4EA3D8">
            <w:pPr>
              <w:widowControl/>
              <w:spacing w:line="560" w:lineRule="exact"/>
              <w:jc w:val="center"/>
              <w:rPr>
                <w:rFonts w:hint="eastAsia" w:ascii="宋体" w:hAnsi="宋体" w:cs="宋体"/>
                <w:color w:val="auto"/>
                <w:sz w:val="24"/>
                <w:highlight w:val="none"/>
              </w:rPr>
            </w:pPr>
          </w:p>
        </w:tc>
        <w:tc>
          <w:tcPr>
            <w:tcW w:w="480" w:type="pct"/>
            <w:gridSpan w:val="2"/>
            <w:tcBorders>
              <w:top w:val="single" w:color="auto" w:sz="6" w:space="0"/>
              <w:left w:val="single" w:color="auto" w:sz="4" w:space="0"/>
              <w:bottom w:val="single" w:color="auto" w:sz="6" w:space="0"/>
              <w:right w:val="single" w:color="auto" w:sz="6" w:space="0"/>
            </w:tcBorders>
            <w:noWrap w:val="0"/>
            <w:vAlign w:val="center"/>
          </w:tcPr>
          <w:p w14:paraId="2E203DE1">
            <w:pPr>
              <w:widowControl/>
              <w:spacing w:line="560" w:lineRule="exact"/>
              <w:jc w:val="center"/>
              <w:textAlignment w:val="center"/>
              <w:rPr>
                <w:rFonts w:hint="eastAsia" w:ascii="宋体" w:hAnsi="宋体" w:cs="宋体"/>
                <w:color w:val="auto"/>
                <w:kern w:val="0"/>
                <w:szCs w:val="21"/>
                <w:highlight w:val="none"/>
              </w:rPr>
            </w:pPr>
          </w:p>
        </w:tc>
      </w:tr>
      <w:tr w14:paraId="2BEB56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309" w:type="pct"/>
            <w:tcBorders>
              <w:top w:val="single" w:color="auto" w:sz="6" w:space="0"/>
              <w:left w:val="single" w:color="auto" w:sz="12" w:space="0"/>
              <w:bottom w:val="single" w:color="auto" w:sz="6" w:space="0"/>
              <w:right w:val="single" w:color="auto" w:sz="4" w:space="0"/>
            </w:tcBorders>
            <w:noWrap w:val="0"/>
            <w:vAlign w:val="center"/>
          </w:tcPr>
          <w:p w14:paraId="0059BB22">
            <w:pPr>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5</w:t>
            </w:r>
          </w:p>
        </w:tc>
        <w:tc>
          <w:tcPr>
            <w:tcW w:w="711" w:type="pct"/>
            <w:tcBorders>
              <w:top w:val="single" w:color="auto" w:sz="6" w:space="0"/>
              <w:left w:val="single" w:color="auto" w:sz="4" w:space="0"/>
              <w:bottom w:val="single" w:color="auto" w:sz="6" w:space="0"/>
              <w:right w:val="single" w:color="auto" w:sz="4" w:space="0"/>
            </w:tcBorders>
            <w:noWrap w:val="0"/>
            <w:vAlign w:val="center"/>
          </w:tcPr>
          <w:p w14:paraId="70907BE6">
            <w:pPr>
              <w:widowControl/>
              <w:spacing w:line="560" w:lineRule="exact"/>
              <w:jc w:val="center"/>
              <w:textAlignment w:val="center"/>
              <w:rPr>
                <w:rFonts w:hint="eastAsia" w:ascii="宋体" w:hAnsi="宋体" w:cs="宋体"/>
                <w:color w:val="auto"/>
                <w:szCs w:val="21"/>
                <w:highlight w:val="none"/>
              </w:rPr>
            </w:pPr>
          </w:p>
        </w:tc>
        <w:tc>
          <w:tcPr>
            <w:tcW w:w="639" w:type="pct"/>
            <w:tcBorders>
              <w:top w:val="single" w:color="auto" w:sz="6" w:space="0"/>
              <w:left w:val="single" w:color="auto" w:sz="4" w:space="0"/>
              <w:bottom w:val="single" w:color="auto" w:sz="6" w:space="0"/>
              <w:right w:val="single" w:color="auto" w:sz="4" w:space="0"/>
            </w:tcBorders>
            <w:noWrap w:val="0"/>
            <w:vAlign w:val="center"/>
          </w:tcPr>
          <w:p w14:paraId="35CB8B86">
            <w:pPr>
              <w:widowControl/>
              <w:spacing w:line="560" w:lineRule="exact"/>
              <w:jc w:val="center"/>
              <w:textAlignment w:val="center"/>
              <w:rPr>
                <w:rFonts w:hint="eastAsia" w:ascii="宋体" w:hAnsi="宋体" w:cs="宋体"/>
                <w:color w:val="auto"/>
                <w:szCs w:val="21"/>
                <w:highlight w:val="none"/>
              </w:rPr>
            </w:pPr>
          </w:p>
        </w:tc>
        <w:tc>
          <w:tcPr>
            <w:tcW w:w="922" w:type="pct"/>
            <w:tcBorders>
              <w:top w:val="single" w:color="auto" w:sz="6" w:space="0"/>
              <w:left w:val="single" w:color="auto" w:sz="4" w:space="0"/>
              <w:bottom w:val="single" w:color="auto" w:sz="6" w:space="0"/>
              <w:right w:val="single" w:color="auto" w:sz="6" w:space="0"/>
            </w:tcBorders>
            <w:noWrap w:val="0"/>
            <w:vAlign w:val="center"/>
          </w:tcPr>
          <w:p w14:paraId="5B626B8F">
            <w:pPr>
              <w:widowControl/>
              <w:spacing w:line="560" w:lineRule="exact"/>
              <w:jc w:val="center"/>
              <w:textAlignment w:val="center"/>
              <w:rPr>
                <w:rFonts w:hint="eastAsia" w:ascii="宋体" w:hAnsi="宋体" w:cs="宋体"/>
                <w:color w:val="auto"/>
                <w:szCs w:val="21"/>
                <w:highlight w:val="none"/>
              </w:rPr>
            </w:pPr>
          </w:p>
        </w:tc>
        <w:tc>
          <w:tcPr>
            <w:tcW w:w="1021" w:type="pct"/>
            <w:tcBorders>
              <w:top w:val="single" w:color="auto" w:sz="6" w:space="0"/>
              <w:left w:val="single" w:color="auto" w:sz="6" w:space="0"/>
              <w:bottom w:val="single" w:color="auto" w:sz="6" w:space="0"/>
              <w:right w:val="single" w:color="auto" w:sz="4" w:space="0"/>
            </w:tcBorders>
            <w:noWrap w:val="0"/>
            <w:vAlign w:val="center"/>
          </w:tcPr>
          <w:p w14:paraId="6A60975F">
            <w:pPr>
              <w:widowControl/>
              <w:spacing w:line="560" w:lineRule="exact"/>
              <w:jc w:val="center"/>
              <w:textAlignment w:val="center"/>
              <w:rPr>
                <w:rFonts w:hint="eastAsia" w:ascii="宋体" w:hAnsi="宋体" w:cs="宋体"/>
                <w:color w:val="auto"/>
                <w:kern w:val="0"/>
                <w:szCs w:val="21"/>
                <w:highlight w:val="none"/>
              </w:rPr>
            </w:pPr>
          </w:p>
        </w:tc>
        <w:tc>
          <w:tcPr>
            <w:tcW w:w="457" w:type="pct"/>
            <w:tcBorders>
              <w:top w:val="single" w:color="auto" w:sz="6" w:space="0"/>
              <w:left w:val="single" w:color="auto" w:sz="4" w:space="0"/>
              <w:bottom w:val="single" w:color="auto" w:sz="6" w:space="0"/>
              <w:right w:val="single" w:color="auto" w:sz="4" w:space="0"/>
            </w:tcBorders>
            <w:noWrap w:val="0"/>
            <w:vAlign w:val="center"/>
          </w:tcPr>
          <w:p w14:paraId="6D927D1F">
            <w:pPr>
              <w:widowControl/>
              <w:spacing w:line="560" w:lineRule="exact"/>
              <w:jc w:val="center"/>
              <w:textAlignment w:val="center"/>
              <w:rPr>
                <w:rFonts w:hint="eastAsia" w:ascii="宋体" w:hAnsi="宋体" w:cs="宋体"/>
                <w:color w:val="auto"/>
                <w:kern w:val="0"/>
                <w:szCs w:val="21"/>
                <w:highlight w:val="none"/>
              </w:rPr>
            </w:pPr>
          </w:p>
        </w:tc>
        <w:tc>
          <w:tcPr>
            <w:tcW w:w="457" w:type="pct"/>
            <w:tcBorders>
              <w:top w:val="single" w:color="auto" w:sz="6" w:space="0"/>
              <w:left w:val="single" w:color="auto" w:sz="4" w:space="0"/>
              <w:bottom w:val="single" w:color="auto" w:sz="6" w:space="0"/>
              <w:right w:val="single" w:color="auto" w:sz="4" w:space="0"/>
            </w:tcBorders>
            <w:noWrap w:val="0"/>
            <w:vAlign w:val="center"/>
          </w:tcPr>
          <w:p w14:paraId="4367AEF6">
            <w:pPr>
              <w:widowControl/>
              <w:spacing w:line="560" w:lineRule="exact"/>
              <w:jc w:val="center"/>
              <w:rPr>
                <w:rFonts w:hint="eastAsia" w:ascii="宋体" w:hAnsi="宋体" w:cs="宋体"/>
                <w:color w:val="auto"/>
                <w:sz w:val="24"/>
                <w:highlight w:val="none"/>
              </w:rPr>
            </w:pPr>
          </w:p>
        </w:tc>
        <w:tc>
          <w:tcPr>
            <w:tcW w:w="480" w:type="pct"/>
            <w:gridSpan w:val="2"/>
            <w:tcBorders>
              <w:top w:val="single" w:color="auto" w:sz="6" w:space="0"/>
              <w:left w:val="single" w:color="auto" w:sz="4" w:space="0"/>
              <w:bottom w:val="single" w:color="auto" w:sz="6" w:space="0"/>
              <w:right w:val="single" w:color="auto" w:sz="6" w:space="0"/>
            </w:tcBorders>
            <w:noWrap w:val="0"/>
            <w:vAlign w:val="center"/>
          </w:tcPr>
          <w:p w14:paraId="574B7862">
            <w:pPr>
              <w:widowControl/>
              <w:spacing w:line="560" w:lineRule="exact"/>
              <w:jc w:val="center"/>
              <w:textAlignment w:val="center"/>
              <w:rPr>
                <w:rFonts w:hint="eastAsia" w:ascii="宋体" w:hAnsi="宋体" w:cs="宋体"/>
                <w:color w:val="auto"/>
                <w:kern w:val="0"/>
                <w:szCs w:val="21"/>
                <w:highlight w:val="none"/>
              </w:rPr>
            </w:pPr>
          </w:p>
        </w:tc>
      </w:tr>
      <w:tr w14:paraId="33822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309" w:type="pct"/>
            <w:tcBorders>
              <w:top w:val="single" w:color="auto" w:sz="6" w:space="0"/>
              <w:left w:val="single" w:color="auto" w:sz="12" w:space="0"/>
              <w:bottom w:val="single" w:color="auto" w:sz="6" w:space="0"/>
              <w:right w:val="single" w:color="auto" w:sz="4" w:space="0"/>
            </w:tcBorders>
            <w:noWrap w:val="0"/>
            <w:vAlign w:val="center"/>
          </w:tcPr>
          <w:p w14:paraId="38B3988D">
            <w:pPr>
              <w:snapToGrid w:val="0"/>
              <w:spacing w:line="5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c>
          <w:tcPr>
            <w:tcW w:w="711" w:type="pct"/>
            <w:tcBorders>
              <w:top w:val="single" w:color="auto" w:sz="6" w:space="0"/>
              <w:left w:val="single" w:color="auto" w:sz="4" w:space="0"/>
              <w:bottom w:val="single" w:color="auto" w:sz="6" w:space="0"/>
              <w:right w:val="single" w:color="auto" w:sz="4" w:space="0"/>
            </w:tcBorders>
            <w:noWrap w:val="0"/>
            <w:vAlign w:val="center"/>
          </w:tcPr>
          <w:p w14:paraId="786C9E0E">
            <w:pPr>
              <w:widowControl/>
              <w:spacing w:line="560" w:lineRule="exact"/>
              <w:jc w:val="center"/>
              <w:textAlignment w:val="center"/>
              <w:rPr>
                <w:rFonts w:hint="eastAsia" w:ascii="宋体" w:hAnsi="宋体" w:cs="宋体"/>
                <w:color w:val="auto"/>
                <w:szCs w:val="21"/>
                <w:highlight w:val="none"/>
              </w:rPr>
            </w:pPr>
          </w:p>
        </w:tc>
        <w:tc>
          <w:tcPr>
            <w:tcW w:w="639" w:type="pct"/>
            <w:tcBorders>
              <w:top w:val="single" w:color="auto" w:sz="6" w:space="0"/>
              <w:left w:val="single" w:color="auto" w:sz="4" w:space="0"/>
              <w:bottom w:val="single" w:color="auto" w:sz="6" w:space="0"/>
              <w:right w:val="single" w:color="auto" w:sz="4" w:space="0"/>
            </w:tcBorders>
            <w:noWrap w:val="0"/>
            <w:vAlign w:val="center"/>
          </w:tcPr>
          <w:p w14:paraId="0F932711">
            <w:pPr>
              <w:widowControl/>
              <w:spacing w:line="560" w:lineRule="exact"/>
              <w:jc w:val="center"/>
              <w:textAlignment w:val="center"/>
              <w:rPr>
                <w:rFonts w:hint="eastAsia" w:ascii="宋体" w:hAnsi="宋体" w:cs="宋体"/>
                <w:color w:val="auto"/>
                <w:szCs w:val="21"/>
                <w:highlight w:val="none"/>
              </w:rPr>
            </w:pPr>
          </w:p>
        </w:tc>
        <w:tc>
          <w:tcPr>
            <w:tcW w:w="922" w:type="pct"/>
            <w:tcBorders>
              <w:top w:val="single" w:color="auto" w:sz="6" w:space="0"/>
              <w:left w:val="single" w:color="auto" w:sz="4" w:space="0"/>
              <w:bottom w:val="single" w:color="auto" w:sz="6" w:space="0"/>
              <w:right w:val="single" w:color="auto" w:sz="6" w:space="0"/>
            </w:tcBorders>
            <w:noWrap w:val="0"/>
            <w:vAlign w:val="center"/>
          </w:tcPr>
          <w:p w14:paraId="33718053">
            <w:pPr>
              <w:spacing w:line="560" w:lineRule="exact"/>
              <w:jc w:val="center"/>
              <w:textAlignment w:val="center"/>
              <w:rPr>
                <w:rFonts w:hint="eastAsia" w:ascii="宋体" w:hAnsi="宋体" w:cs="宋体"/>
                <w:color w:val="auto"/>
                <w:szCs w:val="21"/>
                <w:highlight w:val="none"/>
              </w:rPr>
            </w:pPr>
          </w:p>
        </w:tc>
        <w:tc>
          <w:tcPr>
            <w:tcW w:w="1021" w:type="pct"/>
            <w:tcBorders>
              <w:top w:val="single" w:color="auto" w:sz="6" w:space="0"/>
              <w:left w:val="single" w:color="auto" w:sz="6" w:space="0"/>
              <w:bottom w:val="single" w:color="auto" w:sz="6" w:space="0"/>
              <w:right w:val="single" w:color="auto" w:sz="4" w:space="0"/>
            </w:tcBorders>
            <w:noWrap w:val="0"/>
            <w:vAlign w:val="center"/>
          </w:tcPr>
          <w:p w14:paraId="66764CD9">
            <w:pPr>
              <w:widowControl/>
              <w:spacing w:line="560" w:lineRule="exact"/>
              <w:jc w:val="center"/>
              <w:textAlignment w:val="center"/>
              <w:rPr>
                <w:rFonts w:hint="eastAsia" w:ascii="宋体" w:hAnsi="宋体" w:cs="宋体"/>
                <w:color w:val="auto"/>
                <w:kern w:val="0"/>
                <w:szCs w:val="21"/>
                <w:highlight w:val="none"/>
              </w:rPr>
            </w:pPr>
          </w:p>
        </w:tc>
        <w:tc>
          <w:tcPr>
            <w:tcW w:w="457" w:type="pct"/>
            <w:tcBorders>
              <w:top w:val="single" w:color="auto" w:sz="6" w:space="0"/>
              <w:left w:val="single" w:color="auto" w:sz="4" w:space="0"/>
              <w:bottom w:val="single" w:color="auto" w:sz="6" w:space="0"/>
              <w:right w:val="single" w:color="auto" w:sz="4" w:space="0"/>
            </w:tcBorders>
            <w:noWrap w:val="0"/>
            <w:vAlign w:val="center"/>
          </w:tcPr>
          <w:p w14:paraId="0A6C95F1">
            <w:pPr>
              <w:widowControl/>
              <w:spacing w:line="560" w:lineRule="exact"/>
              <w:jc w:val="center"/>
              <w:textAlignment w:val="center"/>
              <w:rPr>
                <w:rFonts w:hint="eastAsia" w:ascii="宋体" w:hAnsi="宋体" w:cs="宋体"/>
                <w:color w:val="auto"/>
                <w:kern w:val="0"/>
                <w:szCs w:val="21"/>
                <w:highlight w:val="none"/>
              </w:rPr>
            </w:pPr>
          </w:p>
        </w:tc>
        <w:tc>
          <w:tcPr>
            <w:tcW w:w="457" w:type="pct"/>
            <w:tcBorders>
              <w:top w:val="single" w:color="auto" w:sz="6" w:space="0"/>
              <w:left w:val="single" w:color="auto" w:sz="4" w:space="0"/>
              <w:bottom w:val="single" w:color="auto" w:sz="6" w:space="0"/>
              <w:right w:val="single" w:color="auto" w:sz="4" w:space="0"/>
            </w:tcBorders>
            <w:noWrap w:val="0"/>
            <w:vAlign w:val="center"/>
          </w:tcPr>
          <w:p w14:paraId="740A12C2">
            <w:pPr>
              <w:widowControl/>
              <w:spacing w:line="560" w:lineRule="exact"/>
              <w:jc w:val="center"/>
              <w:rPr>
                <w:rFonts w:hint="eastAsia" w:ascii="宋体" w:hAnsi="宋体" w:cs="宋体"/>
                <w:color w:val="auto"/>
                <w:sz w:val="24"/>
                <w:highlight w:val="none"/>
              </w:rPr>
            </w:pPr>
          </w:p>
        </w:tc>
        <w:tc>
          <w:tcPr>
            <w:tcW w:w="480" w:type="pct"/>
            <w:gridSpan w:val="2"/>
            <w:tcBorders>
              <w:top w:val="single" w:color="auto" w:sz="6" w:space="0"/>
              <w:left w:val="single" w:color="auto" w:sz="4" w:space="0"/>
              <w:bottom w:val="single" w:color="auto" w:sz="6" w:space="0"/>
              <w:right w:val="single" w:color="auto" w:sz="6" w:space="0"/>
            </w:tcBorders>
            <w:noWrap w:val="0"/>
            <w:vAlign w:val="center"/>
          </w:tcPr>
          <w:p w14:paraId="6A6EB174">
            <w:pPr>
              <w:widowControl/>
              <w:spacing w:line="560" w:lineRule="exact"/>
              <w:jc w:val="center"/>
              <w:textAlignment w:val="center"/>
              <w:rPr>
                <w:rFonts w:hint="eastAsia" w:ascii="宋体" w:hAnsi="宋体" w:cs="宋体"/>
                <w:color w:val="auto"/>
                <w:kern w:val="0"/>
                <w:szCs w:val="21"/>
                <w:highlight w:val="none"/>
              </w:rPr>
            </w:pPr>
          </w:p>
        </w:tc>
      </w:tr>
      <w:tr w14:paraId="789FFC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2582" w:type="pct"/>
            <w:gridSpan w:val="4"/>
            <w:tcBorders>
              <w:top w:val="single" w:color="auto" w:sz="6" w:space="0"/>
              <w:left w:val="single" w:color="auto" w:sz="12" w:space="0"/>
              <w:bottom w:val="single" w:color="auto" w:sz="6" w:space="0"/>
              <w:right w:val="single" w:color="auto" w:sz="6" w:space="0"/>
            </w:tcBorders>
            <w:noWrap w:val="0"/>
            <w:vAlign w:val="center"/>
          </w:tcPr>
          <w:p w14:paraId="59998E7D">
            <w:pPr>
              <w:tabs>
                <w:tab w:val="left" w:pos="1337"/>
              </w:tabs>
              <w:ind w:left="13" w:leftChars="6"/>
              <w:jc w:val="center"/>
              <w:rPr>
                <w:rFonts w:hint="eastAsia" w:ascii="宋体" w:hAnsi="宋体" w:cs="宋体"/>
                <w:b/>
                <w:bCs/>
                <w:color w:val="auto"/>
                <w:szCs w:val="21"/>
                <w:highlight w:val="none"/>
              </w:rPr>
            </w:pPr>
            <w:r>
              <w:rPr>
                <w:rFonts w:hint="eastAsia" w:ascii="宋体" w:hAnsi="宋体"/>
                <w:sz w:val="24"/>
                <w:highlight w:val="none"/>
              </w:rPr>
              <w:t>其中：1）环境标志产品报价合计（如有）</w:t>
            </w:r>
          </w:p>
        </w:tc>
        <w:tc>
          <w:tcPr>
            <w:tcW w:w="1021" w:type="pct"/>
            <w:tcBorders>
              <w:top w:val="single" w:color="auto" w:sz="6" w:space="0"/>
              <w:left w:val="single" w:color="auto" w:sz="6" w:space="0"/>
              <w:bottom w:val="single" w:color="auto" w:sz="6" w:space="0"/>
              <w:right w:val="single" w:color="auto" w:sz="4" w:space="0"/>
            </w:tcBorders>
            <w:noWrap w:val="0"/>
            <w:vAlign w:val="center"/>
          </w:tcPr>
          <w:p w14:paraId="503AE0E2">
            <w:pPr>
              <w:widowControl/>
              <w:spacing w:line="560" w:lineRule="exact"/>
              <w:jc w:val="center"/>
              <w:textAlignment w:val="center"/>
              <w:rPr>
                <w:rFonts w:hint="eastAsia" w:ascii="宋体" w:hAnsi="宋体" w:cs="宋体"/>
                <w:color w:val="auto"/>
                <w:kern w:val="0"/>
                <w:szCs w:val="21"/>
                <w:highlight w:val="none"/>
              </w:rPr>
            </w:pPr>
          </w:p>
        </w:tc>
        <w:tc>
          <w:tcPr>
            <w:tcW w:w="457" w:type="pct"/>
            <w:tcBorders>
              <w:top w:val="single" w:color="auto" w:sz="6" w:space="0"/>
              <w:left w:val="single" w:color="auto" w:sz="4" w:space="0"/>
              <w:bottom w:val="single" w:color="auto" w:sz="6" w:space="0"/>
              <w:right w:val="single" w:color="auto" w:sz="4" w:space="0"/>
            </w:tcBorders>
            <w:noWrap w:val="0"/>
            <w:vAlign w:val="center"/>
          </w:tcPr>
          <w:p w14:paraId="7683BBBF">
            <w:pPr>
              <w:widowControl/>
              <w:spacing w:line="560" w:lineRule="exact"/>
              <w:jc w:val="center"/>
              <w:textAlignment w:val="center"/>
              <w:rPr>
                <w:rFonts w:hint="eastAsia" w:ascii="宋体" w:hAnsi="宋体" w:cs="宋体"/>
                <w:color w:val="auto"/>
                <w:kern w:val="0"/>
                <w:szCs w:val="21"/>
                <w:highlight w:val="none"/>
              </w:rPr>
            </w:pPr>
          </w:p>
        </w:tc>
        <w:tc>
          <w:tcPr>
            <w:tcW w:w="457" w:type="pct"/>
            <w:tcBorders>
              <w:top w:val="single" w:color="auto" w:sz="6" w:space="0"/>
              <w:left w:val="single" w:color="auto" w:sz="4" w:space="0"/>
              <w:bottom w:val="single" w:color="auto" w:sz="6" w:space="0"/>
              <w:right w:val="single" w:color="auto" w:sz="4" w:space="0"/>
            </w:tcBorders>
            <w:noWrap w:val="0"/>
            <w:vAlign w:val="center"/>
          </w:tcPr>
          <w:p w14:paraId="2DC00AF3">
            <w:pPr>
              <w:widowControl/>
              <w:spacing w:line="560" w:lineRule="exact"/>
              <w:jc w:val="center"/>
              <w:rPr>
                <w:rFonts w:hint="eastAsia" w:ascii="宋体" w:hAnsi="宋体" w:cs="宋体"/>
                <w:color w:val="auto"/>
                <w:sz w:val="24"/>
                <w:highlight w:val="none"/>
              </w:rPr>
            </w:pPr>
          </w:p>
        </w:tc>
        <w:tc>
          <w:tcPr>
            <w:tcW w:w="480" w:type="pct"/>
            <w:gridSpan w:val="2"/>
            <w:tcBorders>
              <w:top w:val="single" w:color="auto" w:sz="6" w:space="0"/>
              <w:left w:val="single" w:color="auto" w:sz="4" w:space="0"/>
              <w:bottom w:val="single" w:color="auto" w:sz="6" w:space="0"/>
              <w:right w:val="single" w:color="auto" w:sz="6" w:space="0"/>
            </w:tcBorders>
            <w:noWrap w:val="0"/>
            <w:vAlign w:val="center"/>
          </w:tcPr>
          <w:p w14:paraId="52D3EFEE">
            <w:pPr>
              <w:widowControl/>
              <w:spacing w:line="560" w:lineRule="exact"/>
              <w:jc w:val="center"/>
              <w:textAlignment w:val="center"/>
              <w:rPr>
                <w:rFonts w:hint="eastAsia" w:ascii="宋体" w:hAnsi="宋体" w:cs="宋体"/>
                <w:color w:val="auto"/>
                <w:kern w:val="0"/>
                <w:szCs w:val="21"/>
                <w:highlight w:val="none"/>
              </w:rPr>
            </w:pPr>
          </w:p>
        </w:tc>
      </w:tr>
      <w:tr w14:paraId="4F0687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2582" w:type="pct"/>
            <w:gridSpan w:val="4"/>
            <w:tcBorders>
              <w:top w:val="single" w:color="auto" w:sz="6" w:space="0"/>
              <w:left w:val="single" w:color="auto" w:sz="12" w:space="0"/>
              <w:bottom w:val="single" w:color="auto" w:sz="6" w:space="0"/>
              <w:right w:val="single" w:color="auto" w:sz="6" w:space="0"/>
            </w:tcBorders>
            <w:noWrap w:val="0"/>
            <w:vAlign w:val="center"/>
          </w:tcPr>
          <w:p w14:paraId="7D668B08">
            <w:pPr>
              <w:tabs>
                <w:tab w:val="left" w:pos="1337"/>
              </w:tabs>
              <w:ind w:left="13" w:leftChars="6"/>
              <w:jc w:val="center"/>
              <w:rPr>
                <w:rFonts w:hint="eastAsia" w:ascii="宋体" w:hAnsi="宋体" w:cs="宋体"/>
                <w:b/>
                <w:bCs/>
                <w:color w:val="auto"/>
                <w:szCs w:val="21"/>
                <w:highlight w:val="none"/>
              </w:rPr>
            </w:pPr>
            <w:r>
              <w:rPr>
                <w:rFonts w:hint="eastAsia" w:ascii="宋体" w:hAnsi="宋体"/>
                <w:sz w:val="24"/>
                <w:highlight w:val="none"/>
              </w:rPr>
              <w:t>2）节能产品报价合计（如有）</w:t>
            </w:r>
          </w:p>
        </w:tc>
        <w:tc>
          <w:tcPr>
            <w:tcW w:w="1021" w:type="pct"/>
            <w:tcBorders>
              <w:top w:val="single" w:color="auto" w:sz="6" w:space="0"/>
              <w:left w:val="single" w:color="auto" w:sz="6" w:space="0"/>
              <w:bottom w:val="single" w:color="auto" w:sz="6" w:space="0"/>
              <w:right w:val="single" w:color="auto" w:sz="4" w:space="0"/>
            </w:tcBorders>
            <w:noWrap w:val="0"/>
            <w:vAlign w:val="center"/>
          </w:tcPr>
          <w:p w14:paraId="15CF7D01">
            <w:pPr>
              <w:widowControl/>
              <w:spacing w:line="560" w:lineRule="exact"/>
              <w:jc w:val="center"/>
              <w:textAlignment w:val="center"/>
              <w:rPr>
                <w:rFonts w:hint="eastAsia" w:ascii="宋体" w:hAnsi="宋体" w:cs="宋体"/>
                <w:color w:val="auto"/>
                <w:kern w:val="0"/>
                <w:szCs w:val="21"/>
                <w:highlight w:val="none"/>
              </w:rPr>
            </w:pPr>
          </w:p>
        </w:tc>
        <w:tc>
          <w:tcPr>
            <w:tcW w:w="457" w:type="pct"/>
            <w:tcBorders>
              <w:top w:val="single" w:color="auto" w:sz="6" w:space="0"/>
              <w:left w:val="single" w:color="auto" w:sz="4" w:space="0"/>
              <w:bottom w:val="single" w:color="auto" w:sz="6" w:space="0"/>
              <w:right w:val="single" w:color="auto" w:sz="4" w:space="0"/>
            </w:tcBorders>
            <w:noWrap w:val="0"/>
            <w:vAlign w:val="center"/>
          </w:tcPr>
          <w:p w14:paraId="7005F994">
            <w:pPr>
              <w:widowControl/>
              <w:spacing w:line="560" w:lineRule="exact"/>
              <w:jc w:val="center"/>
              <w:textAlignment w:val="center"/>
              <w:rPr>
                <w:rFonts w:hint="eastAsia" w:ascii="宋体" w:hAnsi="宋体" w:cs="宋体"/>
                <w:color w:val="auto"/>
                <w:kern w:val="0"/>
                <w:szCs w:val="21"/>
                <w:highlight w:val="none"/>
              </w:rPr>
            </w:pPr>
          </w:p>
        </w:tc>
        <w:tc>
          <w:tcPr>
            <w:tcW w:w="457" w:type="pct"/>
            <w:tcBorders>
              <w:top w:val="single" w:color="auto" w:sz="6" w:space="0"/>
              <w:left w:val="single" w:color="auto" w:sz="4" w:space="0"/>
              <w:bottom w:val="single" w:color="auto" w:sz="6" w:space="0"/>
              <w:right w:val="single" w:color="auto" w:sz="4" w:space="0"/>
            </w:tcBorders>
            <w:noWrap w:val="0"/>
            <w:vAlign w:val="center"/>
          </w:tcPr>
          <w:p w14:paraId="0F61614E">
            <w:pPr>
              <w:widowControl/>
              <w:spacing w:line="560" w:lineRule="exact"/>
              <w:jc w:val="center"/>
              <w:rPr>
                <w:rFonts w:hint="eastAsia" w:ascii="宋体" w:hAnsi="宋体" w:cs="宋体"/>
                <w:color w:val="auto"/>
                <w:sz w:val="24"/>
                <w:highlight w:val="none"/>
              </w:rPr>
            </w:pPr>
          </w:p>
        </w:tc>
        <w:tc>
          <w:tcPr>
            <w:tcW w:w="480" w:type="pct"/>
            <w:gridSpan w:val="2"/>
            <w:tcBorders>
              <w:top w:val="single" w:color="auto" w:sz="6" w:space="0"/>
              <w:left w:val="single" w:color="auto" w:sz="4" w:space="0"/>
              <w:bottom w:val="single" w:color="auto" w:sz="6" w:space="0"/>
              <w:right w:val="single" w:color="auto" w:sz="6" w:space="0"/>
            </w:tcBorders>
            <w:noWrap w:val="0"/>
            <w:vAlign w:val="center"/>
          </w:tcPr>
          <w:p w14:paraId="3BF13BFE">
            <w:pPr>
              <w:widowControl/>
              <w:spacing w:line="560" w:lineRule="exact"/>
              <w:jc w:val="center"/>
              <w:textAlignment w:val="center"/>
              <w:rPr>
                <w:rFonts w:hint="eastAsia" w:ascii="宋体" w:hAnsi="宋体" w:cs="宋体"/>
                <w:color w:val="auto"/>
                <w:kern w:val="0"/>
                <w:szCs w:val="21"/>
                <w:highlight w:val="none"/>
              </w:rPr>
            </w:pPr>
          </w:p>
        </w:tc>
      </w:tr>
      <w:tr w14:paraId="6D8614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2582" w:type="pct"/>
            <w:gridSpan w:val="4"/>
            <w:tcBorders>
              <w:top w:val="single" w:color="auto" w:sz="6" w:space="0"/>
              <w:left w:val="single" w:color="auto" w:sz="12" w:space="0"/>
              <w:bottom w:val="single" w:color="auto" w:sz="6" w:space="0"/>
              <w:right w:val="single" w:color="auto" w:sz="6" w:space="0"/>
            </w:tcBorders>
            <w:noWrap w:val="0"/>
            <w:vAlign w:val="center"/>
          </w:tcPr>
          <w:p w14:paraId="460E9DB7">
            <w:pPr>
              <w:widowControl/>
              <w:spacing w:line="560" w:lineRule="exact"/>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合计（元）</w:t>
            </w:r>
          </w:p>
        </w:tc>
        <w:tc>
          <w:tcPr>
            <w:tcW w:w="1960" w:type="pct"/>
            <w:gridSpan w:val="4"/>
            <w:tcBorders>
              <w:top w:val="single" w:color="auto" w:sz="6" w:space="0"/>
              <w:left w:val="single" w:color="auto" w:sz="6" w:space="0"/>
              <w:bottom w:val="single" w:color="auto" w:sz="6" w:space="0"/>
              <w:right w:val="single" w:color="auto" w:sz="6" w:space="0"/>
            </w:tcBorders>
            <w:noWrap w:val="0"/>
            <w:vAlign w:val="center"/>
          </w:tcPr>
          <w:p w14:paraId="7FCDA9D7">
            <w:pPr>
              <w:widowControl/>
              <w:spacing w:line="560" w:lineRule="exact"/>
              <w:jc w:val="center"/>
              <w:rPr>
                <w:rFonts w:hint="eastAsia" w:ascii="宋体" w:hAnsi="宋体" w:cs="宋体"/>
                <w:color w:val="auto"/>
                <w:sz w:val="24"/>
                <w:highlight w:val="none"/>
              </w:rPr>
            </w:pPr>
          </w:p>
        </w:tc>
        <w:tc>
          <w:tcPr>
            <w:tcW w:w="457" w:type="pct"/>
            <w:tcBorders>
              <w:top w:val="single" w:color="auto" w:sz="6" w:space="0"/>
              <w:left w:val="single" w:color="auto" w:sz="6" w:space="0"/>
              <w:bottom w:val="single" w:color="auto" w:sz="6" w:space="0"/>
              <w:right w:val="single" w:color="auto" w:sz="6" w:space="0"/>
            </w:tcBorders>
            <w:noWrap w:val="0"/>
            <w:vAlign w:val="center"/>
          </w:tcPr>
          <w:p w14:paraId="558E3AE6">
            <w:pPr>
              <w:widowControl/>
              <w:spacing w:line="560" w:lineRule="exact"/>
              <w:jc w:val="center"/>
              <w:rPr>
                <w:rFonts w:hint="eastAsia" w:ascii="宋体" w:hAnsi="宋体" w:cs="宋体"/>
                <w:color w:val="auto"/>
                <w:sz w:val="24"/>
                <w:highlight w:val="none"/>
              </w:rPr>
            </w:pPr>
          </w:p>
        </w:tc>
      </w:tr>
    </w:tbl>
    <w:p w14:paraId="040AE288">
      <w:pPr>
        <w:spacing w:line="360" w:lineRule="auto"/>
        <w:ind w:firstLine="482" w:firstLineChars="200"/>
        <w:rPr>
          <w:rFonts w:hint="eastAsia" w:ascii="宋体" w:hAnsi="宋体"/>
          <w:b/>
          <w:sz w:val="24"/>
          <w:highlight w:val="none"/>
        </w:rPr>
      </w:pPr>
      <w:r>
        <w:rPr>
          <w:rFonts w:hint="eastAsia" w:ascii="宋体" w:hAnsi="宋体"/>
          <w:b/>
          <w:sz w:val="24"/>
          <w:highlight w:val="none"/>
        </w:rPr>
        <w:t>注：</w:t>
      </w:r>
    </w:p>
    <w:p w14:paraId="56AC8C88">
      <w:pPr>
        <w:spacing w:line="360" w:lineRule="auto"/>
        <w:ind w:firstLine="442" w:firstLineChars="200"/>
        <w:rPr>
          <w:rFonts w:ascii="宋体" w:hAnsi="宋体"/>
          <w:b/>
          <w:sz w:val="22"/>
          <w:szCs w:val="22"/>
          <w:highlight w:val="none"/>
        </w:rPr>
      </w:pPr>
      <w:r>
        <w:rPr>
          <w:rFonts w:hint="eastAsia" w:ascii="宋体" w:hAnsi="宋体"/>
          <w:b/>
          <w:sz w:val="22"/>
          <w:szCs w:val="22"/>
          <w:highlight w:val="none"/>
        </w:rPr>
        <w:t>1、本表可按相同形式扩展，单独填写，装订在投标文件中。</w:t>
      </w:r>
    </w:p>
    <w:p w14:paraId="12B07AD8">
      <w:pPr>
        <w:spacing w:line="360" w:lineRule="auto"/>
        <w:ind w:firstLine="442" w:firstLineChars="200"/>
        <w:rPr>
          <w:rFonts w:ascii="宋体" w:hAnsi="宋体"/>
          <w:b/>
          <w:sz w:val="22"/>
          <w:szCs w:val="22"/>
          <w:highlight w:val="none"/>
        </w:rPr>
      </w:pPr>
      <w:r>
        <w:rPr>
          <w:rFonts w:ascii="宋体" w:hAnsi="宋体"/>
          <w:b/>
          <w:sz w:val="22"/>
          <w:szCs w:val="22"/>
          <w:highlight w:val="none"/>
        </w:rPr>
        <w:t>2</w:t>
      </w:r>
      <w:r>
        <w:rPr>
          <w:rFonts w:hint="eastAsia" w:ascii="宋体" w:hAnsi="宋体"/>
          <w:b/>
          <w:sz w:val="22"/>
          <w:szCs w:val="22"/>
          <w:highlight w:val="none"/>
        </w:rPr>
        <w:t>、若服务费等由多项内容组成，则由供应商自行填写此表，合计报价的汇总价格须与开标一览表中的总报价一致。</w:t>
      </w:r>
    </w:p>
    <w:p w14:paraId="1C5B881A">
      <w:pPr>
        <w:spacing w:line="360" w:lineRule="auto"/>
        <w:ind w:right="187" w:firstLine="440" w:firstLineChars="200"/>
        <w:rPr>
          <w:rFonts w:ascii="宋体" w:hAnsi="宋体" w:cs="宋体"/>
          <w:sz w:val="22"/>
          <w:szCs w:val="22"/>
          <w:highlight w:val="none"/>
        </w:rPr>
      </w:pPr>
      <w:r>
        <w:rPr>
          <w:rFonts w:hint="eastAsia" w:ascii="宋体" w:hAnsi="宋体" w:cs="宋体"/>
          <w:sz w:val="22"/>
          <w:szCs w:val="22"/>
          <w:highlight w:val="none"/>
        </w:rPr>
        <w:t>3、若服务内容中包含设备供货，则需将各设备报价明细在此表中逐一填报。</w:t>
      </w:r>
    </w:p>
    <w:p w14:paraId="16B644A3">
      <w:pPr>
        <w:spacing w:line="360" w:lineRule="auto"/>
        <w:ind w:right="187" w:firstLine="440" w:firstLineChars="200"/>
        <w:rPr>
          <w:rFonts w:ascii="宋体" w:hAnsi="宋体" w:cs="宋体"/>
          <w:sz w:val="22"/>
          <w:szCs w:val="22"/>
          <w:highlight w:val="none"/>
        </w:rPr>
      </w:pPr>
      <w:r>
        <w:rPr>
          <w:rFonts w:hint="eastAsia" w:ascii="宋体" w:hAnsi="宋体" w:cs="宋体"/>
          <w:sz w:val="22"/>
          <w:szCs w:val="22"/>
          <w:highlight w:val="none"/>
        </w:rPr>
        <w:t>4、所报产品如属于《环境标志产品政府采购品目清单》（财库〔2019〕18号）、《节能产品政府采购品目清单》（财库〔2019〕19号）内的品目，应附《国家节能产品认证证书》或《中国环境标志产品认证证书》，否则，在评审时不执行政府采购政策。</w:t>
      </w:r>
    </w:p>
    <w:p w14:paraId="074FA061">
      <w:pPr>
        <w:spacing w:line="360" w:lineRule="auto"/>
        <w:ind w:right="187"/>
        <w:rPr>
          <w:rFonts w:ascii="宋体" w:hAnsi="宋体"/>
          <w:bCs/>
          <w:sz w:val="24"/>
          <w:highlight w:val="none"/>
          <w:u w:val="single"/>
        </w:rPr>
      </w:pPr>
      <w:r>
        <w:rPr>
          <w:rFonts w:hint="eastAsia" w:ascii="宋体" w:hAnsi="宋体" w:cs="宋体"/>
          <w:sz w:val="24"/>
          <w:highlight w:val="none"/>
        </w:rPr>
        <w:t>供应商名称（公章）</w:t>
      </w:r>
      <w:r>
        <w:rPr>
          <w:rFonts w:hint="eastAsia" w:ascii="宋体" w:hAnsi="宋体"/>
          <w:bCs/>
          <w:sz w:val="24"/>
          <w:highlight w:val="none"/>
        </w:rPr>
        <w:t>：</w:t>
      </w:r>
    </w:p>
    <w:p w14:paraId="1C161589">
      <w:pPr>
        <w:spacing w:line="360" w:lineRule="auto"/>
        <w:ind w:right="187"/>
        <w:rPr>
          <w:rFonts w:ascii="宋体" w:hAnsi="宋体"/>
          <w:bCs/>
          <w:sz w:val="24"/>
          <w:highlight w:val="none"/>
        </w:rPr>
      </w:pPr>
      <w:r>
        <w:rPr>
          <w:rFonts w:hint="eastAsia" w:ascii="宋体" w:hAnsi="宋体" w:cs="宋体"/>
          <w:sz w:val="24"/>
          <w:highlight w:val="none"/>
        </w:rPr>
        <w:t>法定代表人或授权代理人签字或盖章</w:t>
      </w:r>
      <w:r>
        <w:rPr>
          <w:rFonts w:hint="eastAsia" w:ascii="宋体" w:hAnsi="宋体"/>
          <w:bCs/>
          <w:sz w:val="24"/>
          <w:highlight w:val="none"/>
        </w:rPr>
        <w:t>：</w:t>
      </w:r>
    </w:p>
    <w:p w14:paraId="33A2BE59">
      <w:pPr>
        <w:spacing w:line="360" w:lineRule="auto"/>
        <w:ind w:right="187"/>
        <w:jc w:val="right"/>
        <w:rPr>
          <w:rFonts w:hint="eastAsia" w:ascii="宋体" w:hAnsi="宋体"/>
          <w:bCs/>
          <w:sz w:val="24"/>
          <w:highlight w:val="none"/>
        </w:rPr>
      </w:pPr>
      <w:r>
        <w:rPr>
          <w:rFonts w:hint="eastAsia" w:ascii="宋体" w:hAnsi="宋体"/>
          <w:bCs/>
          <w:sz w:val="24"/>
          <w:highlight w:val="none"/>
        </w:rPr>
        <w:t>年 月  日</w:t>
      </w:r>
    </w:p>
    <w:p w14:paraId="4B7DB3DC">
      <w:pPr>
        <w:rPr>
          <w:rFonts w:hint="eastAsia" w:ascii="宋体" w:hAnsi="宋体"/>
          <w:bCs/>
          <w:sz w:val="24"/>
          <w:highlight w:val="none"/>
        </w:rPr>
      </w:pPr>
      <w:r>
        <w:rPr>
          <w:rFonts w:hint="eastAsia" w:ascii="宋体" w:hAnsi="宋体"/>
          <w:bCs/>
          <w:sz w:val="24"/>
          <w:highlight w:val="none"/>
        </w:rPr>
        <w:br w:type="page"/>
      </w:r>
    </w:p>
    <w:p w14:paraId="6903AC4E">
      <w:pPr>
        <w:pStyle w:val="30"/>
        <w:spacing w:after="0" w:line="460" w:lineRule="exact"/>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服务内供应的备品备件、易损件、专用工具价格表</w:t>
      </w:r>
    </w:p>
    <w:p w14:paraId="1AA17093">
      <w:pPr>
        <w:spacing w:line="360" w:lineRule="exact"/>
        <w:ind w:right="187" w:firstLine="240" w:firstLineChars="100"/>
        <w:rPr>
          <w:rFonts w:hint="eastAsia" w:asciiTheme="minorEastAsia" w:hAnsiTheme="minorEastAsia" w:eastAsiaTheme="minorEastAsia" w:cstheme="minorEastAsia"/>
          <w:color w:val="auto"/>
          <w:sz w:val="24"/>
          <w:highlight w:val="none"/>
        </w:rPr>
      </w:pPr>
    </w:p>
    <w:p w14:paraId="505050CA">
      <w:pPr>
        <w:spacing w:line="360" w:lineRule="auto"/>
        <w:ind w:right="187" w:firstLine="120" w:firstLineChars="5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 xml:space="preserve">项目编号： </w:t>
      </w:r>
    </w:p>
    <w:p w14:paraId="6F270783">
      <w:pPr>
        <w:spacing w:line="360" w:lineRule="auto"/>
        <w:ind w:right="187" w:firstLine="120" w:firstLineChars="5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 xml:space="preserve">项目名称：  </w:t>
      </w:r>
    </w:p>
    <w:tbl>
      <w:tblPr>
        <w:tblStyle w:val="75"/>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857"/>
        <w:gridCol w:w="1006"/>
        <w:gridCol w:w="1006"/>
        <w:gridCol w:w="1006"/>
        <w:gridCol w:w="1124"/>
        <w:gridCol w:w="866"/>
        <w:gridCol w:w="1087"/>
        <w:gridCol w:w="805"/>
      </w:tblGrid>
      <w:tr w14:paraId="3E5B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536" w:type="dxa"/>
            <w:tcBorders>
              <w:top w:val="single" w:color="auto" w:sz="12" w:space="0"/>
              <w:left w:val="single" w:color="auto" w:sz="12" w:space="0"/>
            </w:tcBorders>
            <w:noWrap w:val="0"/>
            <w:vAlign w:val="center"/>
          </w:tcPr>
          <w:p w14:paraId="36B3CB81">
            <w:pPr>
              <w:pStyle w:val="19"/>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color w:val="auto"/>
                <w:spacing w:val="-20"/>
                <w:kern w:val="2"/>
                <w:szCs w:val="21"/>
                <w:highlight w:val="none"/>
                <w:lang w:val="en-US" w:eastAsia="zh-CN"/>
              </w:rPr>
              <w:t>序号</w:t>
            </w:r>
          </w:p>
        </w:tc>
        <w:tc>
          <w:tcPr>
            <w:tcW w:w="1857" w:type="dxa"/>
            <w:tcBorders>
              <w:top w:val="single" w:color="auto" w:sz="12" w:space="0"/>
            </w:tcBorders>
            <w:noWrap w:val="0"/>
            <w:vAlign w:val="center"/>
          </w:tcPr>
          <w:p w14:paraId="41E0B2EE">
            <w:pPr>
              <w:pStyle w:val="19"/>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snapToGrid w:val="0"/>
                <w:color w:val="auto"/>
                <w:szCs w:val="21"/>
                <w:highlight w:val="none"/>
                <w:lang w:val="en-US" w:eastAsia="zh-CN"/>
              </w:rPr>
              <w:t>备品备件／易损件/耗材／专用工具名称</w:t>
            </w:r>
          </w:p>
        </w:tc>
        <w:tc>
          <w:tcPr>
            <w:tcW w:w="1006" w:type="dxa"/>
            <w:tcBorders>
              <w:top w:val="single" w:color="auto" w:sz="12" w:space="0"/>
            </w:tcBorders>
            <w:noWrap w:val="0"/>
            <w:vAlign w:val="center"/>
          </w:tcPr>
          <w:p w14:paraId="40B3526D">
            <w:pPr>
              <w:pStyle w:val="19"/>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snapToGrid w:val="0"/>
                <w:color w:val="auto"/>
                <w:szCs w:val="21"/>
                <w:highlight w:val="none"/>
                <w:lang w:val="en-US" w:eastAsia="zh-CN"/>
              </w:rPr>
              <w:t>制造商</w:t>
            </w:r>
          </w:p>
        </w:tc>
        <w:tc>
          <w:tcPr>
            <w:tcW w:w="1006" w:type="dxa"/>
            <w:tcBorders>
              <w:top w:val="single" w:color="auto" w:sz="12" w:space="0"/>
            </w:tcBorders>
            <w:noWrap w:val="0"/>
            <w:vAlign w:val="center"/>
          </w:tcPr>
          <w:p w14:paraId="4B9046B0">
            <w:pPr>
              <w:pStyle w:val="19"/>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snapToGrid w:val="0"/>
                <w:color w:val="auto"/>
                <w:szCs w:val="21"/>
                <w:highlight w:val="none"/>
                <w:lang w:val="en-US" w:eastAsia="zh-CN"/>
              </w:rPr>
              <w:t>型号/规格</w:t>
            </w:r>
          </w:p>
        </w:tc>
        <w:tc>
          <w:tcPr>
            <w:tcW w:w="1006" w:type="dxa"/>
            <w:tcBorders>
              <w:top w:val="single" w:color="auto" w:sz="12" w:space="0"/>
            </w:tcBorders>
            <w:noWrap w:val="0"/>
            <w:vAlign w:val="center"/>
          </w:tcPr>
          <w:p w14:paraId="37B7CA29">
            <w:pPr>
              <w:pStyle w:val="19"/>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snapToGrid w:val="0"/>
                <w:color w:val="auto"/>
                <w:szCs w:val="21"/>
                <w:highlight w:val="none"/>
                <w:lang w:val="en-US" w:eastAsia="zh-CN"/>
              </w:rPr>
              <w:t>数量</w:t>
            </w:r>
          </w:p>
        </w:tc>
        <w:tc>
          <w:tcPr>
            <w:tcW w:w="1124" w:type="dxa"/>
            <w:tcBorders>
              <w:top w:val="single" w:color="auto" w:sz="12" w:space="0"/>
            </w:tcBorders>
            <w:noWrap w:val="0"/>
            <w:vAlign w:val="center"/>
          </w:tcPr>
          <w:p w14:paraId="62621F00">
            <w:pPr>
              <w:pStyle w:val="19"/>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snapToGrid w:val="0"/>
                <w:color w:val="auto"/>
                <w:szCs w:val="21"/>
                <w:highlight w:val="none"/>
                <w:lang w:val="en-US" w:eastAsia="zh-CN"/>
              </w:rPr>
              <w:t>单位</w:t>
            </w:r>
          </w:p>
        </w:tc>
        <w:tc>
          <w:tcPr>
            <w:tcW w:w="866" w:type="dxa"/>
            <w:tcBorders>
              <w:top w:val="single" w:color="auto" w:sz="12" w:space="0"/>
            </w:tcBorders>
            <w:noWrap w:val="0"/>
            <w:vAlign w:val="center"/>
          </w:tcPr>
          <w:p w14:paraId="1E38D602">
            <w:pPr>
              <w:pStyle w:val="19"/>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snapToGrid w:val="0"/>
                <w:color w:val="auto"/>
                <w:szCs w:val="21"/>
                <w:highlight w:val="none"/>
                <w:lang w:val="en-US" w:eastAsia="zh-CN"/>
              </w:rPr>
              <w:t>单价（元）</w:t>
            </w:r>
          </w:p>
        </w:tc>
        <w:tc>
          <w:tcPr>
            <w:tcW w:w="1087" w:type="dxa"/>
            <w:tcBorders>
              <w:top w:val="single" w:color="auto" w:sz="12" w:space="0"/>
            </w:tcBorders>
            <w:noWrap w:val="0"/>
            <w:vAlign w:val="center"/>
          </w:tcPr>
          <w:p w14:paraId="09F8590C">
            <w:pPr>
              <w:pStyle w:val="19"/>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snapToGrid w:val="0"/>
                <w:color w:val="auto"/>
                <w:szCs w:val="21"/>
                <w:highlight w:val="none"/>
                <w:lang w:val="en-US" w:eastAsia="zh-CN"/>
              </w:rPr>
              <w:t>总价（元）</w:t>
            </w:r>
          </w:p>
        </w:tc>
        <w:tc>
          <w:tcPr>
            <w:tcW w:w="805" w:type="dxa"/>
            <w:tcBorders>
              <w:top w:val="single" w:color="auto" w:sz="12" w:space="0"/>
              <w:right w:val="single" w:color="auto" w:sz="12" w:space="0"/>
            </w:tcBorders>
            <w:noWrap w:val="0"/>
            <w:vAlign w:val="center"/>
          </w:tcPr>
          <w:p w14:paraId="3100346F">
            <w:pPr>
              <w:pStyle w:val="19"/>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snapToGrid w:val="0"/>
                <w:color w:val="auto"/>
                <w:szCs w:val="21"/>
                <w:highlight w:val="none"/>
                <w:lang w:val="en-US" w:eastAsia="zh-CN"/>
              </w:rPr>
              <w:t>备注</w:t>
            </w:r>
          </w:p>
        </w:tc>
      </w:tr>
      <w:tr w14:paraId="4CFA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36" w:type="dxa"/>
            <w:tcBorders>
              <w:left w:val="single" w:color="auto" w:sz="12" w:space="0"/>
            </w:tcBorders>
            <w:noWrap w:val="0"/>
            <w:vAlign w:val="top"/>
          </w:tcPr>
          <w:p w14:paraId="29B85452">
            <w:pPr>
              <w:spacing w:line="520" w:lineRule="exact"/>
              <w:rPr>
                <w:rFonts w:hint="eastAsia" w:asciiTheme="minorEastAsia" w:hAnsiTheme="minorEastAsia" w:eastAsiaTheme="minorEastAsia" w:cstheme="minorEastAsia"/>
                <w:color w:val="auto"/>
                <w:sz w:val="24"/>
                <w:highlight w:val="none"/>
              </w:rPr>
            </w:pPr>
          </w:p>
        </w:tc>
        <w:tc>
          <w:tcPr>
            <w:tcW w:w="1857" w:type="dxa"/>
            <w:noWrap w:val="0"/>
            <w:vAlign w:val="top"/>
          </w:tcPr>
          <w:p w14:paraId="5B065E78">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0D41DEED">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46066024">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6F465C75">
            <w:pPr>
              <w:spacing w:line="520" w:lineRule="exact"/>
              <w:rPr>
                <w:rFonts w:hint="eastAsia" w:asciiTheme="minorEastAsia" w:hAnsiTheme="minorEastAsia" w:eastAsiaTheme="minorEastAsia" w:cstheme="minorEastAsia"/>
                <w:color w:val="auto"/>
                <w:sz w:val="24"/>
                <w:highlight w:val="none"/>
              </w:rPr>
            </w:pPr>
          </w:p>
        </w:tc>
        <w:tc>
          <w:tcPr>
            <w:tcW w:w="1124" w:type="dxa"/>
            <w:noWrap w:val="0"/>
            <w:vAlign w:val="top"/>
          </w:tcPr>
          <w:p w14:paraId="62CFF518">
            <w:pPr>
              <w:spacing w:line="520" w:lineRule="exact"/>
              <w:rPr>
                <w:rFonts w:hint="eastAsia" w:asciiTheme="minorEastAsia" w:hAnsiTheme="minorEastAsia" w:eastAsiaTheme="minorEastAsia" w:cstheme="minorEastAsia"/>
                <w:color w:val="auto"/>
                <w:sz w:val="24"/>
                <w:highlight w:val="none"/>
              </w:rPr>
            </w:pPr>
          </w:p>
        </w:tc>
        <w:tc>
          <w:tcPr>
            <w:tcW w:w="866" w:type="dxa"/>
            <w:noWrap w:val="0"/>
            <w:vAlign w:val="top"/>
          </w:tcPr>
          <w:p w14:paraId="635F5CDF">
            <w:pPr>
              <w:spacing w:line="520" w:lineRule="exact"/>
              <w:rPr>
                <w:rFonts w:hint="eastAsia" w:asciiTheme="minorEastAsia" w:hAnsiTheme="minorEastAsia" w:eastAsiaTheme="minorEastAsia" w:cstheme="minorEastAsia"/>
                <w:color w:val="auto"/>
                <w:sz w:val="24"/>
                <w:highlight w:val="none"/>
              </w:rPr>
            </w:pPr>
          </w:p>
        </w:tc>
        <w:tc>
          <w:tcPr>
            <w:tcW w:w="1087" w:type="dxa"/>
            <w:noWrap w:val="0"/>
            <w:vAlign w:val="top"/>
          </w:tcPr>
          <w:p w14:paraId="0A49856E">
            <w:pPr>
              <w:spacing w:line="520" w:lineRule="exact"/>
              <w:rPr>
                <w:rFonts w:hint="eastAsia" w:asciiTheme="minorEastAsia" w:hAnsiTheme="minorEastAsia" w:eastAsiaTheme="minorEastAsia" w:cstheme="minorEastAsia"/>
                <w:color w:val="auto"/>
                <w:sz w:val="24"/>
                <w:highlight w:val="none"/>
              </w:rPr>
            </w:pPr>
          </w:p>
        </w:tc>
        <w:tc>
          <w:tcPr>
            <w:tcW w:w="805" w:type="dxa"/>
            <w:tcBorders>
              <w:right w:val="single" w:color="auto" w:sz="12" w:space="0"/>
            </w:tcBorders>
            <w:noWrap w:val="0"/>
            <w:vAlign w:val="top"/>
          </w:tcPr>
          <w:p w14:paraId="6BEE555F">
            <w:pPr>
              <w:spacing w:line="520" w:lineRule="exact"/>
              <w:rPr>
                <w:rFonts w:hint="eastAsia" w:asciiTheme="minorEastAsia" w:hAnsiTheme="minorEastAsia" w:eastAsiaTheme="minorEastAsia" w:cstheme="minorEastAsia"/>
                <w:color w:val="auto"/>
                <w:sz w:val="24"/>
                <w:highlight w:val="none"/>
              </w:rPr>
            </w:pPr>
          </w:p>
        </w:tc>
      </w:tr>
      <w:tr w14:paraId="1609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36" w:type="dxa"/>
            <w:tcBorders>
              <w:left w:val="single" w:color="auto" w:sz="12" w:space="0"/>
            </w:tcBorders>
            <w:noWrap w:val="0"/>
            <w:vAlign w:val="top"/>
          </w:tcPr>
          <w:p w14:paraId="6AA9F35A">
            <w:pPr>
              <w:spacing w:line="520" w:lineRule="exact"/>
              <w:rPr>
                <w:rFonts w:hint="eastAsia" w:asciiTheme="minorEastAsia" w:hAnsiTheme="minorEastAsia" w:eastAsiaTheme="minorEastAsia" w:cstheme="minorEastAsia"/>
                <w:color w:val="auto"/>
                <w:sz w:val="24"/>
                <w:highlight w:val="none"/>
              </w:rPr>
            </w:pPr>
          </w:p>
        </w:tc>
        <w:tc>
          <w:tcPr>
            <w:tcW w:w="1857" w:type="dxa"/>
            <w:noWrap w:val="0"/>
            <w:vAlign w:val="top"/>
          </w:tcPr>
          <w:p w14:paraId="32FD1119">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445E6DC7">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10E0EEB6">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6A657BE1">
            <w:pPr>
              <w:spacing w:line="520" w:lineRule="exact"/>
              <w:rPr>
                <w:rFonts w:hint="eastAsia" w:asciiTheme="minorEastAsia" w:hAnsiTheme="minorEastAsia" w:eastAsiaTheme="minorEastAsia" w:cstheme="minorEastAsia"/>
                <w:color w:val="auto"/>
                <w:sz w:val="24"/>
                <w:highlight w:val="none"/>
              </w:rPr>
            </w:pPr>
          </w:p>
        </w:tc>
        <w:tc>
          <w:tcPr>
            <w:tcW w:w="1124" w:type="dxa"/>
            <w:noWrap w:val="0"/>
            <w:vAlign w:val="top"/>
          </w:tcPr>
          <w:p w14:paraId="716E9B1E">
            <w:pPr>
              <w:spacing w:line="520" w:lineRule="exact"/>
              <w:rPr>
                <w:rFonts w:hint="eastAsia" w:asciiTheme="minorEastAsia" w:hAnsiTheme="minorEastAsia" w:eastAsiaTheme="minorEastAsia" w:cstheme="minorEastAsia"/>
                <w:color w:val="auto"/>
                <w:sz w:val="24"/>
                <w:highlight w:val="none"/>
              </w:rPr>
            </w:pPr>
          </w:p>
        </w:tc>
        <w:tc>
          <w:tcPr>
            <w:tcW w:w="866" w:type="dxa"/>
            <w:noWrap w:val="0"/>
            <w:vAlign w:val="top"/>
          </w:tcPr>
          <w:p w14:paraId="7FA8F71A">
            <w:pPr>
              <w:spacing w:line="520" w:lineRule="exact"/>
              <w:rPr>
                <w:rFonts w:hint="eastAsia" w:asciiTheme="minorEastAsia" w:hAnsiTheme="minorEastAsia" w:eastAsiaTheme="minorEastAsia" w:cstheme="minorEastAsia"/>
                <w:color w:val="auto"/>
                <w:sz w:val="24"/>
                <w:highlight w:val="none"/>
              </w:rPr>
            </w:pPr>
          </w:p>
        </w:tc>
        <w:tc>
          <w:tcPr>
            <w:tcW w:w="1087" w:type="dxa"/>
            <w:noWrap w:val="0"/>
            <w:vAlign w:val="top"/>
          </w:tcPr>
          <w:p w14:paraId="2344ABE1">
            <w:pPr>
              <w:spacing w:line="520" w:lineRule="exact"/>
              <w:rPr>
                <w:rFonts w:hint="eastAsia" w:asciiTheme="minorEastAsia" w:hAnsiTheme="minorEastAsia" w:eastAsiaTheme="minorEastAsia" w:cstheme="minorEastAsia"/>
                <w:color w:val="auto"/>
                <w:sz w:val="24"/>
                <w:highlight w:val="none"/>
              </w:rPr>
            </w:pPr>
          </w:p>
        </w:tc>
        <w:tc>
          <w:tcPr>
            <w:tcW w:w="805" w:type="dxa"/>
            <w:tcBorders>
              <w:right w:val="single" w:color="auto" w:sz="12" w:space="0"/>
            </w:tcBorders>
            <w:noWrap w:val="0"/>
            <w:vAlign w:val="top"/>
          </w:tcPr>
          <w:p w14:paraId="7790216F">
            <w:pPr>
              <w:spacing w:line="520" w:lineRule="exact"/>
              <w:rPr>
                <w:rFonts w:hint="eastAsia" w:asciiTheme="minorEastAsia" w:hAnsiTheme="minorEastAsia" w:eastAsiaTheme="minorEastAsia" w:cstheme="minorEastAsia"/>
                <w:color w:val="auto"/>
                <w:sz w:val="24"/>
                <w:highlight w:val="none"/>
              </w:rPr>
            </w:pPr>
          </w:p>
        </w:tc>
      </w:tr>
      <w:tr w14:paraId="6AC1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36" w:type="dxa"/>
            <w:tcBorders>
              <w:left w:val="single" w:color="auto" w:sz="12" w:space="0"/>
            </w:tcBorders>
            <w:noWrap w:val="0"/>
            <w:vAlign w:val="top"/>
          </w:tcPr>
          <w:p w14:paraId="4789648C">
            <w:pPr>
              <w:spacing w:line="520" w:lineRule="exact"/>
              <w:rPr>
                <w:rFonts w:hint="eastAsia" w:asciiTheme="minorEastAsia" w:hAnsiTheme="minorEastAsia" w:eastAsiaTheme="minorEastAsia" w:cstheme="minorEastAsia"/>
                <w:color w:val="auto"/>
                <w:sz w:val="24"/>
                <w:highlight w:val="none"/>
              </w:rPr>
            </w:pPr>
          </w:p>
        </w:tc>
        <w:tc>
          <w:tcPr>
            <w:tcW w:w="1857" w:type="dxa"/>
            <w:noWrap w:val="0"/>
            <w:vAlign w:val="top"/>
          </w:tcPr>
          <w:p w14:paraId="571EA90F">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383BA0FC">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1C52DC02">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12905ABE">
            <w:pPr>
              <w:spacing w:line="520" w:lineRule="exact"/>
              <w:rPr>
                <w:rFonts w:hint="eastAsia" w:asciiTheme="minorEastAsia" w:hAnsiTheme="minorEastAsia" w:eastAsiaTheme="minorEastAsia" w:cstheme="minorEastAsia"/>
                <w:color w:val="auto"/>
                <w:sz w:val="24"/>
                <w:highlight w:val="none"/>
              </w:rPr>
            </w:pPr>
          </w:p>
        </w:tc>
        <w:tc>
          <w:tcPr>
            <w:tcW w:w="1124" w:type="dxa"/>
            <w:noWrap w:val="0"/>
            <w:vAlign w:val="top"/>
          </w:tcPr>
          <w:p w14:paraId="05AF5CB8">
            <w:pPr>
              <w:spacing w:line="520" w:lineRule="exact"/>
              <w:rPr>
                <w:rFonts w:hint="eastAsia" w:asciiTheme="minorEastAsia" w:hAnsiTheme="minorEastAsia" w:eastAsiaTheme="minorEastAsia" w:cstheme="minorEastAsia"/>
                <w:color w:val="auto"/>
                <w:sz w:val="24"/>
                <w:highlight w:val="none"/>
              </w:rPr>
            </w:pPr>
          </w:p>
        </w:tc>
        <w:tc>
          <w:tcPr>
            <w:tcW w:w="866" w:type="dxa"/>
            <w:noWrap w:val="0"/>
            <w:vAlign w:val="top"/>
          </w:tcPr>
          <w:p w14:paraId="1C7F5259">
            <w:pPr>
              <w:spacing w:line="520" w:lineRule="exact"/>
              <w:rPr>
                <w:rFonts w:hint="eastAsia" w:asciiTheme="minorEastAsia" w:hAnsiTheme="minorEastAsia" w:eastAsiaTheme="minorEastAsia" w:cstheme="minorEastAsia"/>
                <w:color w:val="auto"/>
                <w:sz w:val="24"/>
                <w:highlight w:val="none"/>
              </w:rPr>
            </w:pPr>
          </w:p>
        </w:tc>
        <w:tc>
          <w:tcPr>
            <w:tcW w:w="1087" w:type="dxa"/>
            <w:noWrap w:val="0"/>
            <w:vAlign w:val="top"/>
          </w:tcPr>
          <w:p w14:paraId="45A5B9FE">
            <w:pPr>
              <w:spacing w:line="520" w:lineRule="exact"/>
              <w:rPr>
                <w:rFonts w:hint="eastAsia" w:asciiTheme="minorEastAsia" w:hAnsiTheme="minorEastAsia" w:eastAsiaTheme="minorEastAsia" w:cstheme="minorEastAsia"/>
                <w:color w:val="auto"/>
                <w:sz w:val="24"/>
                <w:highlight w:val="none"/>
              </w:rPr>
            </w:pPr>
          </w:p>
        </w:tc>
        <w:tc>
          <w:tcPr>
            <w:tcW w:w="805" w:type="dxa"/>
            <w:tcBorders>
              <w:right w:val="single" w:color="auto" w:sz="12" w:space="0"/>
            </w:tcBorders>
            <w:noWrap w:val="0"/>
            <w:vAlign w:val="top"/>
          </w:tcPr>
          <w:p w14:paraId="0B593298">
            <w:pPr>
              <w:spacing w:line="520" w:lineRule="exact"/>
              <w:rPr>
                <w:rFonts w:hint="eastAsia" w:asciiTheme="minorEastAsia" w:hAnsiTheme="minorEastAsia" w:eastAsiaTheme="minorEastAsia" w:cstheme="minorEastAsia"/>
                <w:color w:val="auto"/>
                <w:sz w:val="24"/>
                <w:highlight w:val="none"/>
              </w:rPr>
            </w:pPr>
          </w:p>
        </w:tc>
      </w:tr>
      <w:tr w14:paraId="4F3A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36" w:type="dxa"/>
            <w:tcBorders>
              <w:left w:val="single" w:color="auto" w:sz="12" w:space="0"/>
            </w:tcBorders>
            <w:noWrap w:val="0"/>
            <w:vAlign w:val="top"/>
          </w:tcPr>
          <w:p w14:paraId="6A6FA4CA">
            <w:pPr>
              <w:spacing w:line="520" w:lineRule="exact"/>
              <w:rPr>
                <w:rFonts w:hint="eastAsia" w:asciiTheme="minorEastAsia" w:hAnsiTheme="minorEastAsia" w:eastAsiaTheme="minorEastAsia" w:cstheme="minorEastAsia"/>
                <w:color w:val="auto"/>
                <w:sz w:val="24"/>
                <w:highlight w:val="none"/>
              </w:rPr>
            </w:pPr>
          </w:p>
        </w:tc>
        <w:tc>
          <w:tcPr>
            <w:tcW w:w="1857" w:type="dxa"/>
            <w:noWrap w:val="0"/>
            <w:vAlign w:val="top"/>
          </w:tcPr>
          <w:p w14:paraId="24928A79">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48BD1A47">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1DBBB893">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71CDF96C">
            <w:pPr>
              <w:spacing w:line="520" w:lineRule="exact"/>
              <w:rPr>
                <w:rFonts w:hint="eastAsia" w:asciiTheme="minorEastAsia" w:hAnsiTheme="minorEastAsia" w:eastAsiaTheme="minorEastAsia" w:cstheme="minorEastAsia"/>
                <w:color w:val="auto"/>
                <w:sz w:val="24"/>
                <w:highlight w:val="none"/>
              </w:rPr>
            </w:pPr>
          </w:p>
        </w:tc>
        <w:tc>
          <w:tcPr>
            <w:tcW w:w="1124" w:type="dxa"/>
            <w:noWrap w:val="0"/>
            <w:vAlign w:val="top"/>
          </w:tcPr>
          <w:p w14:paraId="550F7EDF">
            <w:pPr>
              <w:spacing w:line="520" w:lineRule="exact"/>
              <w:rPr>
                <w:rFonts w:hint="eastAsia" w:asciiTheme="minorEastAsia" w:hAnsiTheme="minorEastAsia" w:eastAsiaTheme="minorEastAsia" w:cstheme="minorEastAsia"/>
                <w:color w:val="auto"/>
                <w:sz w:val="24"/>
                <w:highlight w:val="none"/>
              </w:rPr>
            </w:pPr>
          </w:p>
        </w:tc>
        <w:tc>
          <w:tcPr>
            <w:tcW w:w="866" w:type="dxa"/>
            <w:noWrap w:val="0"/>
            <w:vAlign w:val="top"/>
          </w:tcPr>
          <w:p w14:paraId="53546C83">
            <w:pPr>
              <w:spacing w:line="520" w:lineRule="exact"/>
              <w:rPr>
                <w:rFonts w:hint="eastAsia" w:asciiTheme="minorEastAsia" w:hAnsiTheme="minorEastAsia" w:eastAsiaTheme="minorEastAsia" w:cstheme="minorEastAsia"/>
                <w:color w:val="auto"/>
                <w:sz w:val="24"/>
                <w:highlight w:val="none"/>
              </w:rPr>
            </w:pPr>
          </w:p>
        </w:tc>
        <w:tc>
          <w:tcPr>
            <w:tcW w:w="1087" w:type="dxa"/>
            <w:noWrap w:val="0"/>
            <w:vAlign w:val="top"/>
          </w:tcPr>
          <w:p w14:paraId="2E594341">
            <w:pPr>
              <w:spacing w:line="520" w:lineRule="exact"/>
              <w:rPr>
                <w:rFonts w:hint="eastAsia" w:asciiTheme="minorEastAsia" w:hAnsiTheme="minorEastAsia" w:eastAsiaTheme="minorEastAsia" w:cstheme="minorEastAsia"/>
                <w:color w:val="auto"/>
                <w:sz w:val="24"/>
                <w:highlight w:val="none"/>
              </w:rPr>
            </w:pPr>
          </w:p>
        </w:tc>
        <w:tc>
          <w:tcPr>
            <w:tcW w:w="805" w:type="dxa"/>
            <w:tcBorders>
              <w:right w:val="single" w:color="auto" w:sz="12" w:space="0"/>
            </w:tcBorders>
            <w:noWrap w:val="0"/>
            <w:vAlign w:val="top"/>
          </w:tcPr>
          <w:p w14:paraId="6DC6DA9D">
            <w:pPr>
              <w:spacing w:line="520" w:lineRule="exact"/>
              <w:rPr>
                <w:rFonts w:hint="eastAsia" w:asciiTheme="minorEastAsia" w:hAnsiTheme="minorEastAsia" w:eastAsiaTheme="minorEastAsia" w:cstheme="minorEastAsia"/>
                <w:color w:val="auto"/>
                <w:sz w:val="24"/>
                <w:highlight w:val="none"/>
              </w:rPr>
            </w:pPr>
          </w:p>
        </w:tc>
      </w:tr>
      <w:tr w14:paraId="424C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36" w:type="dxa"/>
            <w:tcBorders>
              <w:left w:val="single" w:color="auto" w:sz="12" w:space="0"/>
            </w:tcBorders>
            <w:noWrap w:val="0"/>
            <w:vAlign w:val="top"/>
          </w:tcPr>
          <w:p w14:paraId="19688229">
            <w:pPr>
              <w:spacing w:line="520" w:lineRule="exact"/>
              <w:rPr>
                <w:rFonts w:hint="eastAsia" w:asciiTheme="minorEastAsia" w:hAnsiTheme="minorEastAsia" w:eastAsiaTheme="minorEastAsia" w:cstheme="minorEastAsia"/>
                <w:color w:val="auto"/>
                <w:sz w:val="24"/>
                <w:highlight w:val="none"/>
              </w:rPr>
            </w:pPr>
          </w:p>
        </w:tc>
        <w:tc>
          <w:tcPr>
            <w:tcW w:w="1857" w:type="dxa"/>
            <w:noWrap w:val="0"/>
            <w:vAlign w:val="top"/>
          </w:tcPr>
          <w:p w14:paraId="6647E8CA">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21264A4F">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34F7D976">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72CDA1FB">
            <w:pPr>
              <w:spacing w:line="520" w:lineRule="exact"/>
              <w:rPr>
                <w:rFonts w:hint="eastAsia" w:asciiTheme="minorEastAsia" w:hAnsiTheme="minorEastAsia" w:eastAsiaTheme="minorEastAsia" w:cstheme="minorEastAsia"/>
                <w:color w:val="auto"/>
                <w:sz w:val="24"/>
                <w:highlight w:val="none"/>
              </w:rPr>
            </w:pPr>
          </w:p>
        </w:tc>
        <w:tc>
          <w:tcPr>
            <w:tcW w:w="1124" w:type="dxa"/>
            <w:noWrap w:val="0"/>
            <w:vAlign w:val="top"/>
          </w:tcPr>
          <w:p w14:paraId="3C4E8CB2">
            <w:pPr>
              <w:spacing w:line="520" w:lineRule="exact"/>
              <w:rPr>
                <w:rFonts w:hint="eastAsia" w:asciiTheme="minorEastAsia" w:hAnsiTheme="minorEastAsia" w:eastAsiaTheme="minorEastAsia" w:cstheme="minorEastAsia"/>
                <w:color w:val="auto"/>
                <w:sz w:val="24"/>
                <w:highlight w:val="none"/>
              </w:rPr>
            </w:pPr>
          </w:p>
        </w:tc>
        <w:tc>
          <w:tcPr>
            <w:tcW w:w="866" w:type="dxa"/>
            <w:noWrap w:val="0"/>
            <w:vAlign w:val="top"/>
          </w:tcPr>
          <w:p w14:paraId="518AE2C0">
            <w:pPr>
              <w:spacing w:line="520" w:lineRule="exact"/>
              <w:rPr>
                <w:rFonts w:hint="eastAsia" w:asciiTheme="minorEastAsia" w:hAnsiTheme="minorEastAsia" w:eastAsiaTheme="minorEastAsia" w:cstheme="minorEastAsia"/>
                <w:color w:val="auto"/>
                <w:sz w:val="24"/>
                <w:highlight w:val="none"/>
              </w:rPr>
            </w:pPr>
          </w:p>
        </w:tc>
        <w:tc>
          <w:tcPr>
            <w:tcW w:w="1087" w:type="dxa"/>
            <w:noWrap w:val="0"/>
            <w:vAlign w:val="top"/>
          </w:tcPr>
          <w:p w14:paraId="4239F155">
            <w:pPr>
              <w:spacing w:line="520" w:lineRule="exact"/>
              <w:rPr>
                <w:rFonts w:hint="eastAsia" w:asciiTheme="minorEastAsia" w:hAnsiTheme="minorEastAsia" w:eastAsiaTheme="minorEastAsia" w:cstheme="minorEastAsia"/>
                <w:color w:val="auto"/>
                <w:sz w:val="24"/>
                <w:highlight w:val="none"/>
              </w:rPr>
            </w:pPr>
          </w:p>
        </w:tc>
        <w:tc>
          <w:tcPr>
            <w:tcW w:w="805" w:type="dxa"/>
            <w:tcBorders>
              <w:right w:val="single" w:color="auto" w:sz="12" w:space="0"/>
            </w:tcBorders>
            <w:noWrap w:val="0"/>
            <w:vAlign w:val="top"/>
          </w:tcPr>
          <w:p w14:paraId="6E9AAD9A">
            <w:pPr>
              <w:spacing w:line="520" w:lineRule="exact"/>
              <w:rPr>
                <w:rFonts w:hint="eastAsia" w:asciiTheme="minorEastAsia" w:hAnsiTheme="minorEastAsia" w:eastAsiaTheme="minorEastAsia" w:cstheme="minorEastAsia"/>
                <w:color w:val="auto"/>
                <w:sz w:val="24"/>
                <w:highlight w:val="none"/>
              </w:rPr>
            </w:pPr>
          </w:p>
        </w:tc>
      </w:tr>
      <w:tr w14:paraId="09E9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36" w:type="dxa"/>
            <w:tcBorders>
              <w:left w:val="single" w:color="auto" w:sz="12" w:space="0"/>
            </w:tcBorders>
            <w:noWrap w:val="0"/>
            <w:vAlign w:val="top"/>
          </w:tcPr>
          <w:p w14:paraId="3CF7147B">
            <w:pPr>
              <w:spacing w:line="520" w:lineRule="exact"/>
              <w:rPr>
                <w:rFonts w:hint="eastAsia" w:asciiTheme="minorEastAsia" w:hAnsiTheme="minorEastAsia" w:eastAsiaTheme="minorEastAsia" w:cstheme="minorEastAsia"/>
                <w:color w:val="auto"/>
                <w:sz w:val="24"/>
                <w:highlight w:val="none"/>
              </w:rPr>
            </w:pPr>
          </w:p>
        </w:tc>
        <w:tc>
          <w:tcPr>
            <w:tcW w:w="1857" w:type="dxa"/>
            <w:noWrap w:val="0"/>
            <w:vAlign w:val="top"/>
          </w:tcPr>
          <w:p w14:paraId="7B282E71">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1E6E982A">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5AFA8267">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08E6F859">
            <w:pPr>
              <w:spacing w:line="520" w:lineRule="exact"/>
              <w:rPr>
                <w:rFonts w:hint="eastAsia" w:asciiTheme="minorEastAsia" w:hAnsiTheme="minorEastAsia" w:eastAsiaTheme="minorEastAsia" w:cstheme="minorEastAsia"/>
                <w:color w:val="auto"/>
                <w:sz w:val="24"/>
                <w:highlight w:val="none"/>
              </w:rPr>
            </w:pPr>
          </w:p>
        </w:tc>
        <w:tc>
          <w:tcPr>
            <w:tcW w:w="1124" w:type="dxa"/>
            <w:noWrap w:val="0"/>
            <w:vAlign w:val="top"/>
          </w:tcPr>
          <w:p w14:paraId="1540F4F7">
            <w:pPr>
              <w:spacing w:line="520" w:lineRule="exact"/>
              <w:rPr>
                <w:rFonts w:hint="eastAsia" w:asciiTheme="minorEastAsia" w:hAnsiTheme="minorEastAsia" w:eastAsiaTheme="minorEastAsia" w:cstheme="minorEastAsia"/>
                <w:color w:val="auto"/>
                <w:sz w:val="24"/>
                <w:highlight w:val="none"/>
              </w:rPr>
            </w:pPr>
          </w:p>
        </w:tc>
        <w:tc>
          <w:tcPr>
            <w:tcW w:w="866" w:type="dxa"/>
            <w:noWrap w:val="0"/>
            <w:vAlign w:val="top"/>
          </w:tcPr>
          <w:p w14:paraId="6C3945C6">
            <w:pPr>
              <w:spacing w:line="520" w:lineRule="exact"/>
              <w:rPr>
                <w:rFonts w:hint="eastAsia" w:asciiTheme="minorEastAsia" w:hAnsiTheme="minorEastAsia" w:eastAsiaTheme="minorEastAsia" w:cstheme="minorEastAsia"/>
                <w:color w:val="auto"/>
                <w:sz w:val="24"/>
                <w:highlight w:val="none"/>
              </w:rPr>
            </w:pPr>
          </w:p>
        </w:tc>
        <w:tc>
          <w:tcPr>
            <w:tcW w:w="1087" w:type="dxa"/>
            <w:noWrap w:val="0"/>
            <w:vAlign w:val="top"/>
          </w:tcPr>
          <w:p w14:paraId="7E01AF57">
            <w:pPr>
              <w:spacing w:line="520" w:lineRule="exact"/>
              <w:rPr>
                <w:rFonts w:hint="eastAsia" w:asciiTheme="minorEastAsia" w:hAnsiTheme="minorEastAsia" w:eastAsiaTheme="minorEastAsia" w:cstheme="minorEastAsia"/>
                <w:color w:val="auto"/>
                <w:sz w:val="24"/>
                <w:highlight w:val="none"/>
              </w:rPr>
            </w:pPr>
          </w:p>
        </w:tc>
        <w:tc>
          <w:tcPr>
            <w:tcW w:w="805" w:type="dxa"/>
            <w:tcBorders>
              <w:right w:val="single" w:color="auto" w:sz="12" w:space="0"/>
            </w:tcBorders>
            <w:noWrap w:val="0"/>
            <w:vAlign w:val="top"/>
          </w:tcPr>
          <w:p w14:paraId="5A3FC8A7">
            <w:pPr>
              <w:spacing w:line="520" w:lineRule="exact"/>
              <w:rPr>
                <w:rFonts w:hint="eastAsia" w:asciiTheme="minorEastAsia" w:hAnsiTheme="minorEastAsia" w:eastAsiaTheme="minorEastAsia" w:cstheme="minorEastAsia"/>
                <w:color w:val="auto"/>
                <w:sz w:val="24"/>
                <w:highlight w:val="none"/>
              </w:rPr>
            </w:pPr>
          </w:p>
        </w:tc>
      </w:tr>
      <w:tr w14:paraId="2E99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36" w:type="dxa"/>
            <w:tcBorders>
              <w:left w:val="single" w:color="auto" w:sz="12" w:space="0"/>
            </w:tcBorders>
            <w:noWrap w:val="0"/>
            <w:vAlign w:val="top"/>
          </w:tcPr>
          <w:p w14:paraId="1B5A9065">
            <w:pPr>
              <w:spacing w:line="520" w:lineRule="exact"/>
              <w:rPr>
                <w:rFonts w:hint="eastAsia" w:asciiTheme="minorEastAsia" w:hAnsiTheme="minorEastAsia" w:eastAsiaTheme="minorEastAsia" w:cstheme="minorEastAsia"/>
                <w:color w:val="auto"/>
                <w:sz w:val="24"/>
                <w:highlight w:val="none"/>
              </w:rPr>
            </w:pPr>
          </w:p>
        </w:tc>
        <w:tc>
          <w:tcPr>
            <w:tcW w:w="1857" w:type="dxa"/>
            <w:noWrap w:val="0"/>
            <w:vAlign w:val="top"/>
          </w:tcPr>
          <w:p w14:paraId="1DD2F765">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7B353AB6">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04F7A79E">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70FD40E5">
            <w:pPr>
              <w:spacing w:line="520" w:lineRule="exact"/>
              <w:rPr>
                <w:rFonts w:hint="eastAsia" w:asciiTheme="minorEastAsia" w:hAnsiTheme="minorEastAsia" w:eastAsiaTheme="minorEastAsia" w:cstheme="minorEastAsia"/>
                <w:color w:val="auto"/>
                <w:sz w:val="24"/>
                <w:highlight w:val="none"/>
              </w:rPr>
            </w:pPr>
          </w:p>
        </w:tc>
        <w:tc>
          <w:tcPr>
            <w:tcW w:w="1124" w:type="dxa"/>
            <w:noWrap w:val="0"/>
            <w:vAlign w:val="top"/>
          </w:tcPr>
          <w:p w14:paraId="10D45BB4">
            <w:pPr>
              <w:spacing w:line="520" w:lineRule="exact"/>
              <w:rPr>
                <w:rFonts w:hint="eastAsia" w:asciiTheme="minorEastAsia" w:hAnsiTheme="minorEastAsia" w:eastAsiaTheme="minorEastAsia" w:cstheme="minorEastAsia"/>
                <w:color w:val="auto"/>
                <w:sz w:val="24"/>
                <w:highlight w:val="none"/>
              </w:rPr>
            </w:pPr>
          </w:p>
        </w:tc>
        <w:tc>
          <w:tcPr>
            <w:tcW w:w="866" w:type="dxa"/>
            <w:noWrap w:val="0"/>
            <w:vAlign w:val="top"/>
          </w:tcPr>
          <w:p w14:paraId="6000BCDB">
            <w:pPr>
              <w:spacing w:line="520" w:lineRule="exact"/>
              <w:rPr>
                <w:rFonts w:hint="eastAsia" w:asciiTheme="minorEastAsia" w:hAnsiTheme="minorEastAsia" w:eastAsiaTheme="minorEastAsia" w:cstheme="minorEastAsia"/>
                <w:color w:val="auto"/>
                <w:sz w:val="24"/>
                <w:highlight w:val="none"/>
              </w:rPr>
            </w:pPr>
          </w:p>
        </w:tc>
        <w:tc>
          <w:tcPr>
            <w:tcW w:w="1087" w:type="dxa"/>
            <w:noWrap w:val="0"/>
            <w:vAlign w:val="top"/>
          </w:tcPr>
          <w:p w14:paraId="3B44CF0B">
            <w:pPr>
              <w:spacing w:line="520" w:lineRule="exact"/>
              <w:rPr>
                <w:rFonts w:hint="eastAsia" w:asciiTheme="minorEastAsia" w:hAnsiTheme="minorEastAsia" w:eastAsiaTheme="minorEastAsia" w:cstheme="minorEastAsia"/>
                <w:color w:val="auto"/>
                <w:sz w:val="24"/>
                <w:highlight w:val="none"/>
              </w:rPr>
            </w:pPr>
          </w:p>
        </w:tc>
        <w:tc>
          <w:tcPr>
            <w:tcW w:w="805" w:type="dxa"/>
            <w:tcBorders>
              <w:right w:val="single" w:color="auto" w:sz="12" w:space="0"/>
            </w:tcBorders>
            <w:noWrap w:val="0"/>
            <w:vAlign w:val="top"/>
          </w:tcPr>
          <w:p w14:paraId="26DC675D">
            <w:pPr>
              <w:spacing w:line="520" w:lineRule="exact"/>
              <w:rPr>
                <w:rFonts w:hint="eastAsia" w:asciiTheme="minorEastAsia" w:hAnsiTheme="minorEastAsia" w:eastAsiaTheme="minorEastAsia" w:cstheme="minorEastAsia"/>
                <w:color w:val="auto"/>
                <w:sz w:val="24"/>
                <w:highlight w:val="none"/>
              </w:rPr>
            </w:pPr>
          </w:p>
        </w:tc>
      </w:tr>
      <w:tr w14:paraId="0002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36" w:type="dxa"/>
            <w:tcBorders>
              <w:left w:val="single" w:color="auto" w:sz="12" w:space="0"/>
            </w:tcBorders>
            <w:noWrap w:val="0"/>
            <w:vAlign w:val="top"/>
          </w:tcPr>
          <w:p w14:paraId="7C35CCAD">
            <w:pPr>
              <w:spacing w:line="520" w:lineRule="exact"/>
              <w:rPr>
                <w:rFonts w:hint="eastAsia" w:asciiTheme="minorEastAsia" w:hAnsiTheme="minorEastAsia" w:eastAsiaTheme="minorEastAsia" w:cstheme="minorEastAsia"/>
                <w:color w:val="auto"/>
                <w:sz w:val="24"/>
                <w:highlight w:val="none"/>
              </w:rPr>
            </w:pPr>
          </w:p>
        </w:tc>
        <w:tc>
          <w:tcPr>
            <w:tcW w:w="1857" w:type="dxa"/>
            <w:noWrap w:val="0"/>
            <w:vAlign w:val="top"/>
          </w:tcPr>
          <w:p w14:paraId="337A11CE">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21A27DCF">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116FAC14">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339901E3">
            <w:pPr>
              <w:spacing w:line="520" w:lineRule="exact"/>
              <w:rPr>
                <w:rFonts w:hint="eastAsia" w:asciiTheme="minorEastAsia" w:hAnsiTheme="minorEastAsia" w:eastAsiaTheme="minorEastAsia" w:cstheme="minorEastAsia"/>
                <w:color w:val="auto"/>
                <w:sz w:val="24"/>
                <w:highlight w:val="none"/>
              </w:rPr>
            </w:pPr>
          </w:p>
        </w:tc>
        <w:tc>
          <w:tcPr>
            <w:tcW w:w="1124" w:type="dxa"/>
            <w:noWrap w:val="0"/>
            <w:vAlign w:val="top"/>
          </w:tcPr>
          <w:p w14:paraId="298FBA22">
            <w:pPr>
              <w:spacing w:line="520" w:lineRule="exact"/>
              <w:rPr>
                <w:rFonts w:hint="eastAsia" w:asciiTheme="minorEastAsia" w:hAnsiTheme="minorEastAsia" w:eastAsiaTheme="minorEastAsia" w:cstheme="minorEastAsia"/>
                <w:color w:val="auto"/>
                <w:sz w:val="24"/>
                <w:highlight w:val="none"/>
              </w:rPr>
            </w:pPr>
          </w:p>
        </w:tc>
        <w:tc>
          <w:tcPr>
            <w:tcW w:w="866" w:type="dxa"/>
            <w:noWrap w:val="0"/>
            <w:vAlign w:val="top"/>
          </w:tcPr>
          <w:p w14:paraId="2391230D">
            <w:pPr>
              <w:spacing w:line="520" w:lineRule="exact"/>
              <w:rPr>
                <w:rFonts w:hint="eastAsia" w:asciiTheme="minorEastAsia" w:hAnsiTheme="minorEastAsia" w:eastAsiaTheme="minorEastAsia" w:cstheme="minorEastAsia"/>
                <w:color w:val="auto"/>
                <w:sz w:val="24"/>
                <w:highlight w:val="none"/>
              </w:rPr>
            </w:pPr>
          </w:p>
        </w:tc>
        <w:tc>
          <w:tcPr>
            <w:tcW w:w="1087" w:type="dxa"/>
            <w:noWrap w:val="0"/>
            <w:vAlign w:val="top"/>
          </w:tcPr>
          <w:p w14:paraId="1D967603">
            <w:pPr>
              <w:spacing w:line="520" w:lineRule="exact"/>
              <w:rPr>
                <w:rFonts w:hint="eastAsia" w:asciiTheme="minorEastAsia" w:hAnsiTheme="minorEastAsia" w:eastAsiaTheme="minorEastAsia" w:cstheme="minorEastAsia"/>
                <w:color w:val="auto"/>
                <w:sz w:val="24"/>
                <w:highlight w:val="none"/>
              </w:rPr>
            </w:pPr>
          </w:p>
        </w:tc>
        <w:tc>
          <w:tcPr>
            <w:tcW w:w="805" w:type="dxa"/>
            <w:tcBorders>
              <w:right w:val="single" w:color="auto" w:sz="12" w:space="0"/>
            </w:tcBorders>
            <w:noWrap w:val="0"/>
            <w:vAlign w:val="top"/>
          </w:tcPr>
          <w:p w14:paraId="7E900C06">
            <w:pPr>
              <w:spacing w:line="520" w:lineRule="exact"/>
              <w:rPr>
                <w:rFonts w:hint="eastAsia" w:asciiTheme="minorEastAsia" w:hAnsiTheme="minorEastAsia" w:eastAsiaTheme="minorEastAsia" w:cstheme="minorEastAsia"/>
                <w:color w:val="auto"/>
                <w:sz w:val="24"/>
                <w:highlight w:val="none"/>
              </w:rPr>
            </w:pPr>
          </w:p>
        </w:tc>
      </w:tr>
      <w:tr w14:paraId="0398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36" w:type="dxa"/>
            <w:tcBorders>
              <w:left w:val="single" w:color="auto" w:sz="12" w:space="0"/>
              <w:bottom w:val="single" w:color="auto" w:sz="12" w:space="0"/>
            </w:tcBorders>
            <w:noWrap w:val="0"/>
            <w:vAlign w:val="top"/>
          </w:tcPr>
          <w:p w14:paraId="68375937">
            <w:pPr>
              <w:spacing w:line="520" w:lineRule="exact"/>
              <w:rPr>
                <w:rFonts w:hint="eastAsia" w:asciiTheme="minorEastAsia" w:hAnsiTheme="minorEastAsia" w:eastAsiaTheme="minorEastAsia" w:cstheme="minorEastAsia"/>
                <w:color w:val="auto"/>
                <w:sz w:val="24"/>
                <w:highlight w:val="none"/>
              </w:rPr>
            </w:pPr>
          </w:p>
        </w:tc>
        <w:tc>
          <w:tcPr>
            <w:tcW w:w="1857" w:type="dxa"/>
            <w:tcBorders>
              <w:bottom w:val="single" w:color="auto" w:sz="12" w:space="0"/>
            </w:tcBorders>
            <w:noWrap w:val="0"/>
            <w:vAlign w:val="top"/>
          </w:tcPr>
          <w:p w14:paraId="0F6DD47F">
            <w:pPr>
              <w:spacing w:line="52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合计</w:t>
            </w:r>
          </w:p>
        </w:tc>
        <w:tc>
          <w:tcPr>
            <w:tcW w:w="6900" w:type="dxa"/>
            <w:gridSpan w:val="7"/>
            <w:tcBorders>
              <w:bottom w:val="single" w:color="auto" w:sz="12" w:space="0"/>
              <w:right w:val="single" w:color="auto" w:sz="12" w:space="0"/>
            </w:tcBorders>
            <w:noWrap w:val="0"/>
            <w:vAlign w:val="top"/>
          </w:tcPr>
          <w:p w14:paraId="2B164946">
            <w:pPr>
              <w:spacing w:line="520" w:lineRule="exac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大写：（小写：）</w:t>
            </w:r>
          </w:p>
        </w:tc>
      </w:tr>
    </w:tbl>
    <w:p w14:paraId="77ED2DCE">
      <w:pPr>
        <w:spacing w:line="360" w:lineRule="exact"/>
        <w:ind w:firstLine="240" w:firstLineChars="1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说明：本表费用应包含在投标总价中。</w:t>
      </w:r>
    </w:p>
    <w:p w14:paraId="0C81701F">
      <w:pPr>
        <w:spacing w:line="360" w:lineRule="exact"/>
        <w:ind w:firstLine="240" w:firstLineChars="100"/>
        <w:rPr>
          <w:rFonts w:hint="eastAsia" w:asciiTheme="minorEastAsia" w:hAnsiTheme="minorEastAsia" w:eastAsiaTheme="minorEastAsia" w:cstheme="minorEastAsia"/>
          <w:color w:val="auto"/>
          <w:sz w:val="24"/>
          <w:highlight w:val="none"/>
        </w:rPr>
      </w:pPr>
    </w:p>
    <w:p w14:paraId="6C24C47C">
      <w:pPr>
        <w:spacing w:line="360" w:lineRule="exact"/>
        <w:ind w:firstLine="240" w:firstLineChars="100"/>
        <w:rPr>
          <w:rFonts w:hint="eastAsia" w:asciiTheme="minorEastAsia" w:hAnsiTheme="minorEastAsia" w:eastAsiaTheme="minorEastAsia" w:cstheme="minorEastAsia"/>
          <w:color w:val="auto"/>
          <w:sz w:val="24"/>
          <w:highlight w:val="none"/>
        </w:rPr>
      </w:pPr>
    </w:p>
    <w:p w14:paraId="72B5C43C">
      <w:pPr>
        <w:spacing w:line="360" w:lineRule="exact"/>
        <w:ind w:right="187"/>
        <w:rPr>
          <w:rFonts w:hint="eastAsia" w:asciiTheme="minorEastAsia" w:hAnsiTheme="minorEastAsia" w:eastAsiaTheme="minorEastAsia" w:cstheme="minorEastAsia"/>
          <w:bCs/>
          <w:color w:val="auto"/>
          <w:sz w:val="24"/>
          <w:highlight w:val="none"/>
          <w:u w:val="single"/>
        </w:rPr>
      </w:pPr>
      <w:r>
        <w:rPr>
          <w:rFonts w:hint="eastAsia" w:asciiTheme="minorEastAsia" w:hAnsiTheme="minorEastAsia" w:eastAsiaTheme="minorEastAsia" w:cstheme="minorEastAsia"/>
          <w:color w:val="auto"/>
          <w:sz w:val="24"/>
          <w:highlight w:val="none"/>
        </w:rPr>
        <w:t>供应商名称</w:t>
      </w:r>
      <w:r>
        <w:rPr>
          <w:rFonts w:hint="eastAsia" w:asciiTheme="minorEastAsia" w:hAnsiTheme="minorEastAsia" w:eastAsiaTheme="minorEastAsia" w:cstheme="minorEastAsia"/>
          <w:bCs/>
          <w:color w:val="auto"/>
          <w:sz w:val="24"/>
          <w:highlight w:val="none"/>
        </w:rPr>
        <w:t>（公章）：</w:t>
      </w:r>
    </w:p>
    <w:p w14:paraId="47F7687E">
      <w:pPr>
        <w:spacing w:line="360" w:lineRule="exact"/>
        <w:ind w:right="187"/>
        <w:rPr>
          <w:rFonts w:hint="eastAsia" w:asciiTheme="minorEastAsia" w:hAnsiTheme="minorEastAsia" w:eastAsiaTheme="minorEastAsia" w:cstheme="minorEastAsia"/>
          <w:bCs/>
          <w:color w:val="auto"/>
          <w:sz w:val="24"/>
          <w:highlight w:val="none"/>
          <w:u w:val="single"/>
        </w:rPr>
      </w:pPr>
    </w:p>
    <w:p w14:paraId="74C32767">
      <w:pPr>
        <w:spacing w:line="300" w:lineRule="exact"/>
        <w:ind w:right="187"/>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Cs/>
          <w:color w:val="auto"/>
          <w:sz w:val="24"/>
          <w:highlight w:val="none"/>
        </w:rPr>
        <w:t>法定代表人或授权代理人签字或盖章：</w:t>
      </w:r>
    </w:p>
    <w:p w14:paraId="638555CF">
      <w:pPr>
        <w:pStyle w:val="31"/>
        <w:wordWrap w:val="0"/>
        <w:spacing w:line="240" w:lineRule="auto"/>
        <w:ind w:left="0" w:leftChars="0" w:firstLine="0" w:firstLineChars="0"/>
        <w:jc w:val="right"/>
        <w:rPr>
          <w:rFonts w:hint="eastAsia" w:asciiTheme="minorEastAsia" w:hAnsiTheme="minorEastAsia" w:eastAsiaTheme="minorEastAsia" w:cstheme="minorEastAsia"/>
          <w:color w:val="auto"/>
          <w:highlight w:val="none"/>
        </w:rPr>
        <w:sectPr>
          <w:pgSz w:w="12093" w:h="16951"/>
          <w:pgMar w:top="1446" w:right="1531" w:bottom="1446" w:left="1531" w:header="0" w:footer="1060" w:gutter="0"/>
          <w:pgNumType w:fmt="decimal"/>
          <w:cols w:space="0" w:num="1"/>
          <w:docGrid w:linePitch="290" w:charSpace="0"/>
        </w:sectPr>
      </w:pPr>
      <w:r>
        <w:rPr>
          <w:rFonts w:hint="eastAsia" w:asciiTheme="minorEastAsia" w:hAnsiTheme="minorEastAsia" w:eastAsiaTheme="minorEastAsia" w:cstheme="minorEastAsia"/>
          <w:color w:val="auto"/>
          <w:highlight w:val="none"/>
        </w:rPr>
        <w:t>年  月  日</w:t>
      </w:r>
    </w:p>
    <w:p w14:paraId="4CE6A661">
      <w:pPr>
        <w:spacing w:line="360" w:lineRule="auto"/>
        <w:ind w:right="187"/>
        <w:jc w:val="right"/>
        <w:rPr>
          <w:rFonts w:hint="eastAsia" w:ascii="宋体" w:hAnsi="宋体"/>
          <w:bCs/>
          <w:sz w:val="24"/>
          <w:highlight w:val="none"/>
        </w:rPr>
      </w:pPr>
    </w:p>
    <w:p w14:paraId="49C5DC1B">
      <w:pPr>
        <w:pStyle w:val="4"/>
        <w:spacing w:before="120" w:after="120" w:line="360" w:lineRule="auto"/>
        <w:rPr>
          <w:rFonts w:ascii="宋体" w:hAnsi="宋体"/>
          <w:b w:val="0"/>
          <w:bCs/>
          <w:sz w:val="24"/>
          <w:szCs w:val="21"/>
          <w:highlight w:val="none"/>
        </w:rPr>
      </w:pPr>
      <w:bookmarkStart w:id="130" w:name="_Toc34679956"/>
      <w:bookmarkStart w:id="131" w:name="_Toc7877"/>
      <w:r>
        <w:rPr>
          <w:rFonts w:hint="eastAsia" w:ascii="宋体" w:hAnsi="宋体"/>
          <w:b w:val="0"/>
          <w:sz w:val="24"/>
          <w:szCs w:val="21"/>
          <w:highlight w:val="none"/>
        </w:rPr>
        <w:t>附件</w:t>
      </w:r>
      <w:r>
        <w:rPr>
          <w:rFonts w:hint="eastAsia" w:ascii="宋体" w:hAnsi="宋体"/>
          <w:b w:val="0"/>
          <w:bCs/>
          <w:sz w:val="24"/>
          <w:szCs w:val="21"/>
          <w:highlight w:val="none"/>
        </w:rPr>
        <w:t>五</w:t>
      </w:r>
      <w:r>
        <w:rPr>
          <w:rFonts w:hint="eastAsia" w:ascii="宋体" w:hAnsi="宋体"/>
          <w:b w:val="0"/>
          <w:sz w:val="24"/>
          <w:szCs w:val="21"/>
          <w:highlight w:val="none"/>
        </w:rPr>
        <w:t>：商务</w:t>
      </w:r>
      <w:bookmarkEnd w:id="130"/>
      <w:r>
        <w:rPr>
          <w:rFonts w:hint="eastAsia" w:ascii="宋体" w:hAnsi="宋体"/>
          <w:b w:val="0"/>
          <w:sz w:val="24"/>
          <w:szCs w:val="21"/>
          <w:highlight w:val="none"/>
        </w:rPr>
        <w:t>响应一览表</w:t>
      </w:r>
      <w:bookmarkEnd w:id="131"/>
    </w:p>
    <w:p w14:paraId="307FA7E7">
      <w:pPr>
        <w:spacing w:line="360" w:lineRule="auto"/>
        <w:jc w:val="center"/>
        <w:rPr>
          <w:rFonts w:ascii="宋体" w:hAnsi="宋体"/>
          <w:b/>
          <w:sz w:val="24"/>
          <w:highlight w:val="none"/>
        </w:rPr>
      </w:pPr>
      <w:r>
        <w:rPr>
          <w:rFonts w:hint="eastAsia" w:ascii="宋体" w:hAnsi="宋体"/>
          <w:b/>
          <w:sz w:val="24"/>
          <w:highlight w:val="none"/>
        </w:rPr>
        <w:t>商务响应一览表</w:t>
      </w:r>
    </w:p>
    <w:p w14:paraId="4F96FF00">
      <w:pPr>
        <w:pStyle w:val="31"/>
        <w:spacing w:line="360" w:lineRule="auto"/>
        <w:ind w:left="0" w:leftChars="0" w:firstLine="0" w:firstLineChars="0"/>
        <w:rPr>
          <w:rFonts w:hint="eastAsia" w:ascii="宋体" w:hAnsi="宋体"/>
          <w:bCs/>
          <w:highlight w:val="none"/>
          <w:u w:val="single"/>
        </w:rPr>
      </w:pPr>
      <w:r>
        <w:rPr>
          <w:rFonts w:hint="eastAsia" w:ascii="宋体" w:hAnsi="宋体"/>
          <w:bCs/>
          <w:highlight w:val="none"/>
        </w:rPr>
        <w:t>项目编号</w:t>
      </w:r>
      <w:r>
        <w:rPr>
          <w:rFonts w:hint="eastAsia" w:ascii="宋体" w:hAnsi="宋体"/>
          <w:b/>
          <w:bCs/>
          <w:highlight w:val="none"/>
        </w:rPr>
        <w:t>：</w:t>
      </w:r>
      <w:r>
        <w:rPr>
          <w:rFonts w:hint="eastAsia" w:ascii="宋体" w:hAnsi="宋体"/>
          <w:highlight w:val="none"/>
        </w:rPr>
        <w:t xml:space="preserve"> _______________________</w:t>
      </w:r>
      <w:r>
        <w:rPr>
          <w:rFonts w:hint="eastAsia" w:ascii="宋体" w:hAnsi="宋体"/>
          <w:bCs/>
          <w:highlight w:val="none"/>
          <w:u w:val="single"/>
        </w:rPr>
        <w:t xml:space="preserve"> </w:t>
      </w:r>
    </w:p>
    <w:p w14:paraId="1E452A81">
      <w:pPr>
        <w:pStyle w:val="31"/>
        <w:spacing w:before="120" w:beforeLines="50" w:line="360" w:lineRule="auto"/>
        <w:ind w:left="0" w:leftChars="0" w:firstLine="0" w:firstLineChars="0"/>
        <w:rPr>
          <w:rFonts w:ascii="宋体" w:hAnsi="宋体"/>
          <w:bCs/>
          <w:highlight w:val="none"/>
        </w:rPr>
      </w:pPr>
      <w:r>
        <w:rPr>
          <w:rFonts w:hint="eastAsia" w:ascii="宋体" w:hAnsi="宋体"/>
          <w:bCs/>
          <w:highlight w:val="none"/>
        </w:rPr>
        <w:t>项目名称</w:t>
      </w:r>
      <w:r>
        <w:rPr>
          <w:rFonts w:hint="eastAsia" w:ascii="宋体" w:hAnsi="宋体"/>
          <w:b/>
          <w:bCs/>
          <w:highlight w:val="none"/>
        </w:rPr>
        <w:t>：</w:t>
      </w:r>
      <w:r>
        <w:rPr>
          <w:rFonts w:hint="eastAsia" w:ascii="宋体" w:hAnsi="宋体"/>
          <w:highlight w:val="none"/>
        </w:rPr>
        <w:t>_______________________</w:t>
      </w:r>
      <w:r>
        <w:rPr>
          <w:rFonts w:hint="eastAsia" w:ascii="宋体" w:hAnsi="宋体"/>
          <w:bCs/>
          <w:highlight w:val="none"/>
          <w:u w:val="single"/>
        </w:rPr>
        <w:t xml:space="preserve"> </w:t>
      </w:r>
      <w:r>
        <w:rPr>
          <w:rFonts w:hint="eastAsia" w:ascii="宋体" w:hAnsi="宋体"/>
          <w:bCs/>
          <w:highlight w:val="none"/>
        </w:rPr>
        <w:t xml:space="preserve">   </w:t>
      </w:r>
      <w:r>
        <w:rPr>
          <w:rFonts w:ascii="宋体" w:hAnsi="宋体"/>
          <w:b/>
          <w:bCs/>
          <w:highlight w:val="none"/>
        </w:rPr>
        <w:t xml:space="preserve">      </w:t>
      </w:r>
      <w:r>
        <w:rPr>
          <w:rFonts w:hint="eastAsia" w:ascii="宋体" w:hAnsi="宋体"/>
          <w:highlight w:val="none"/>
          <w:lang w:val="en-US" w:eastAsia="zh-CN"/>
        </w:rPr>
        <w:t>包号：</w:t>
      </w:r>
      <w:r>
        <w:rPr>
          <w:rFonts w:hint="eastAsia" w:ascii="宋体" w:hAnsi="宋体"/>
          <w:highlight w:val="none"/>
        </w:rPr>
        <w:t>___________</w:t>
      </w:r>
      <w:r>
        <w:rPr>
          <w:rFonts w:hint="eastAsia" w:ascii="宋体" w:hAnsi="宋体"/>
          <w:highlight w:val="none"/>
          <w:lang w:val="en-US" w:eastAsia="zh-CN"/>
        </w:rPr>
        <w:t xml:space="preserve"> </w:t>
      </w:r>
      <w:r>
        <w:rPr>
          <w:rFonts w:hint="eastAsia" w:ascii="宋体" w:hAnsi="宋体"/>
          <w:bCs/>
          <w:highlight w:val="none"/>
          <w:u w:val="single"/>
        </w:rPr>
        <w:t xml:space="preserve"> </w:t>
      </w:r>
      <w:r>
        <w:rPr>
          <w:rFonts w:hint="eastAsia" w:ascii="宋体" w:hAnsi="宋体"/>
          <w:bCs/>
          <w:highlight w:val="none"/>
          <w:u w:val="none"/>
        </w:rPr>
        <w:t xml:space="preserve"> </w:t>
      </w:r>
      <w:r>
        <w:rPr>
          <w:rFonts w:hint="eastAsia" w:ascii="宋体" w:hAnsi="宋体"/>
          <w:bCs/>
          <w:highlight w:val="none"/>
          <w:u w:val="none"/>
          <w:lang w:val="en-US" w:eastAsia="zh-CN"/>
        </w:rPr>
        <w:t xml:space="preserve">  </w:t>
      </w:r>
      <w:r>
        <w:rPr>
          <w:rFonts w:ascii="宋体" w:hAnsi="宋体"/>
          <w:b/>
          <w:bCs/>
          <w:highlight w:val="none"/>
        </w:rPr>
        <w:t xml:space="preserve"> </w:t>
      </w:r>
      <w:r>
        <w:rPr>
          <w:rFonts w:ascii="宋体" w:hAnsi="宋体"/>
          <w:bCs/>
          <w:highlight w:val="none"/>
        </w:rPr>
        <w:t xml:space="preserve">                                           </w:t>
      </w:r>
    </w:p>
    <w:tbl>
      <w:tblPr>
        <w:tblStyle w:val="75"/>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546"/>
        <w:gridCol w:w="1678"/>
        <w:gridCol w:w="1675"/>
        <w:gridCol w:w="1539"/>
        <w:gridCol w:w="1411"/>
      </w:tblGrid>
      <w:tr w14:paraId="04D2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988" w:type="dxa"/>
            <w:noWrap w:val="0"/>
            <w:vAlign w:val="center"/>
          </w:tcPr>
          <w:p w14:paraId="6215DBF4">
            <w:pPr>
              <w:tabs>
                <w:tab w:val="left" w:pos="1337"/>
              </w:tabs>
              <w:spacing w:line="360" w:lineRule="auto"/>
              <w:jc w:val="center"/>
              <w:rPr>
                <w:rFonts w:ascii="宋体" w:hAnsi="宋体"/>
                <w:bCs/>
                <w:sz w:val="24"/>
                <w:highlight w:val="none"/>
              </w:rPr>
            </w:pPr>
            <w:r>
              <w:rPr>
                <w:rFonts w:hint="eastAsia" w:ascii="宋体" w:hAnsi="宋体"/>
                <w:bCs/>
                <w:sz w:val="24"/>
                <w:highlight w:val="none"/>
              </w:rPr>
              <w:t>序号</w:t>
            </w:r>
          </w:p>
        </w:tc>
        <w:tc>
          <w:tcPr>
            <w:tcW w:w="1546" w:type="dxa"/>
            <w:noWrap w:val="0"/>
            <w:vAlign w:val="center"/>
          </w:tcPr>
          <w:p w14:paraId="7D4F7B7A">
            <w:pPr>
              <w:tabs>
                <w:tab w:val="left" w:pos="1337"/>
              </w:tabs>
              <w:spacing w:line="360" w:lineRule="auto"/>
              <w:jc w:val="center"/>
              <w:rPr>
                <w:rFonts w:ascii="宋体" w:hAnsi="宋体"/>
                <w:bCs/>
                <w:sz w:val="24"/>
                <w:highlight w:val="none"/>
              </w:rPr>
            </w:pPr>
            <w:r>
              <w:rPr>
                <w:rFonts w:hint="eastAsia" w:ascii="宋体" w:hAnsi="宋体"/>
                <w:bCs/>
                <w:sz w:val="24"/>
                <w:highlight w:val="none"/>
              </w:rPr>
              <w:t>招标文件</w:t>
            </w:r>
          </w:p>
          <w:p w14:paraId="4905FD01">
            <w:pPr>
              <w:tabs>
                <w:tab w:val="left" w:pos="1337"/>
              </w:tabs>
              <w:spacing w:line="360" w:lineRule="auto"/>
              <w:jc w:val="center"/>
              <w:rPr>
                <w:rFonts w:ascii="宋体" w:hAnsi="宋体"/>
                <w:bCs/>
                <w:sz w:val="24"/>
                <w:highlight w:val="none"/>
              </w:rPr>
            </w:pPr>
            <w:r>
              <w:rPr>
                <w:rFonts w:hint="eastAsia" w:ascii="宋体" w:hAnsi="宋体"/>
                <w:bCs/>
                <w:sz w:val="24"/>
                <w:highlight w:val="none"/>
              </w:rPr>
              <w:t>条目号</w:t>
            </w:r>
          </w:p>
        </w:tc>
        <w:tc>
          <w:tcPr>
            <w:tcW w:w="1678" w:type="dxa"/>
            <w:noWrap w:val="0"/>
            <w:vAlign w:val="center"/>
          </w:tcPr>
          <w:p w14:paraId="62515852">
            <w:pPr>
              <w:tabs>
                <w:tab w:val="left" w:pos="1337"/>
              </w:tabs>
              <w:spacing w:line="360" w:lineRule="auto"/>
              <w:jc w:val="center"/>
              <w:rPr>
                <w:rFonts w:ascii="宋体" w:hAnsi="宋体"/>
                <w:bCs/>
                <w:sz w:val="24"/>
                <w:highlight w:val="none"/>
              </w:rPr>
            </w:pPr>
            <w:r>
              <w:rPr>
                <w:rFonts w:hint="eastAsia" w:ascii="宋体" w:hAnsi="宋体"/>
                <w:bCs/>
                <w:sz w:val="24"/>
                <w:highlight w:val="none"/>
              </w:rPr>
              <w:t>招标文件</w:t>
            </w:r>
          </w:p>
          <w:p w14:paraId="21ADA189">
            <w:pPr>
              <w:tabs>
                <w:tab w:val="left" w:pos="1337"/>
              </w:tabs>
              <w:spacing w:line="360" w:lineRule="auto"/>
              <w:jc w:val="center"/>
              <w:rPr>
                <w:rFonts w:ascii="宋体" w:hAnsi="宋体"/>
                <w:bCs/>
                <w:sz w:val="24"/>
                <w:highlight w:val="none"/>
              </w:rPr>
            </w:pPr>
            <w:r>
              <w:rPr>
                <w:rFonts w:hint="eastAsia" w:ascii="宋体" w:hAnsi="宋体"/>
                <w:bCs/>
                <w:sz w:val="24"/>
                <w:highlight w:val="none"/>
              </w:rPr>
              <w:t>要求</w:t>
            </w:r>
          </w:p>
        </w:tc>
        <w:tc>
          <w:tcPr>
            <w:tcW w:w="1675" w:type="dxa"/>
            <w:noWrap w:val="0"/>
            <w:vAlign w:val="center"/>
          </w:tcPr>
          <w:p w14:paraId="6CE7CE26">
            <w:pPr>
              <w:tabs>
                <w:tab w:val="left" w:pos="1337"/>
              </w:tabs>
              <w:spacing w:line="360" w:lineRule="auto"/>
              <w:jc w:val="center"/>
              <w:rPr>
                <w:rFonts w:ascii="宋体" w:hAnsi="宋体"/>
                <w:bCs/>
                <w:sz w:val="24"/>
                <w:highlight w:val="none"/>
              </w:rPr>
            </w:pPr>
            <w:r>
              <w:rPr>
                <w:rFonts w:hint="eastAsia" w:ascii="宋体" w:hAnsi="宋体"/>
                <w:bCs/>
                <w:sz w:val="24"/>
                <w:highlight w:val="none"/>
              </w:rPr>
              <w:t>投标文件</w:t>
            </w:r>
          </w:p>
          <w:p w14:paraId="4B112B87">
            <w:pPr>
              <w:tabs>
                <w:tab w:val="left" w:pos="1337"/>
              </w:tabs>
              <w:spacing w:line="360" w:lineRule="auto"/>
              <w:jc w:val="center"/>
              <w:rPr>
                <w:rFonts w:ascii="宋体" w:hAnsi="宋体"/>
                <w:bCs/>
                <w:sz w:val="24"/>
                <w:highlight w:val="none"/>
              </w:rPr>
            </w:pPr>
            <w:r>
              <w:rPr>
                <w:rFonts w:hint="eastAsia" w:ascii="宋体" w:hAnsi="宋体"/>
                <w:bCs/>
                <w:sz w:val="24"/>
                <w:highlight w:val="none"/>
              </w:rPr>
              <w:t>实际情况</w:t>
            </w:r>
          </w:p>
        </w:tc>
        <w:tc>
          <w:tcPr>
            <w:tcW w:w="1539" w:type="dxa"/>
            <w:noWrap w:val="0"/>
            <w:vAlign w:val="center"/>
          </w:tcPr>
          <w:p w14:paraId="6B4692C1">
            <w:pPr>
              <w:tabs>
                <w:tab w:val="left" w:pos="1337"/>
              </w:tabs>
              <w:spacing w:line="360" w:lineRule="auto"/>
              <w:jc w:val="center"/>
              <w:rPr>
                <w:rFonts w:ascii="宋体" w:hAnsi="宋体"/>
                <w:bCs/>
                <w:sz w:val="24"/>
                <w:highlight w:val="none"/>
              </w:rPr>
            </w:pPr>
            <w:r>
              <w:rPr>
                <w:rFonts w:hint="eastAsia" w:ascii="宋体" w:hAnsi="宋体"/>
                <w:bCs/>
                <w:sz w:val="24"/>
                <w:highlight w:val="none"/>
              </w:rPr>
              <w:t>偏差内容</w:t>
            </w:r>
          </w:p>
        </w:tc>
        <w:tc>
          <w:tcPr>
            <w:tcW w:w="1411" w:type="dxa"/>
            <w:noWrap w:val="0"/>
            <w:vAlign w:val="center"/>
          </w:tcPr>
          <w:p w14:paraId="2008528F">
            <w:pPr>
              <w:tabs>
                <w:tab w:val="left" w:pos="1337"/>
              </w:tabs>
              <w:spacing w:line="360" w:lineRule="auto"/>
              <w:jc w:val="center"/>
              <w:rPr>
                <w:rFonts w:ascii="宋体" w:hAnsi="宋体"/>
                <w:bCs/>
                <w:sz w:val="24"/>
                <w:highlight w:val="none"/>
              </w:rPr>
            </w:pPr>
            <w:r>
              <w:rPr>
                <w:rFonts w:hint="eastAsia" w:ascii="宋体" w:hAnsi="宋体"/>
                <w:bCs/>
                <w:sz w:val="24"/>
                <w:highlight w:val="none"/>
              </w:rPr>
              <w:t>备注</w:t>
            </w:r>
          </w:p>
        </w:tc>
      </w:tr>
      <w:tr w14:paraId="6E75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988" w:type="dxa"/>
            <w:noWrap w:val="0"/>
            <w:vAlign w:val="center"/>
          </w:tcPr>
          <w:p w14:paraId="6E571E29">
            <w:pPr>
              <w:tabs>
                <w:tab w:val="left" w:pos="1337"/>
              </w:tabs>
              <w:spacing w:line="360" w:lineRule="auto"/>
              <w:jc w:val="center"/>
              <w:rPr>
                <w:rFonts w:ascii="宋体" w:hAnsi="宋体"/>
                <w:sz w:val="24"/>
                <w:highlight w:val="none"/>
              </w:rPr>
            </w:pPr>
          </w:p>
        </w:tc>
        <w:tc>
          <w:tcPr>
            <w:tcW w:w="1546" w:type="dxa"/>
            <w:noWrap w:val="0"/>
            <w:vAlign w:val="center"/>
          </w:tcPr>
          <w:p w14:paraId="01551F8C">
            <w:pPr>
              <w:tabs>
                <w:tab w:val="left" w:pos="1337"/>
              </w:tabs>
              <w:spacing w:line="360" w:lineRule="auto"/>
              <w:jc w:val="center"/>
              <w:rPr>
                <w:rFonts w:ascii="宋体" w:hAnsi="宋体"/>
                <w:sz w:val="24"/>
                <w:highlight w:val="none"/>
              </w:rPr>
            </w:pPr>
          </w:p>
        </w:tc>
        <w:tc>
          <w:tcPr>
            <w:tcW w:w="1678" w:type="dxa"/>
            <w:noWrap w:val="0"/>
            <w:vAlign w:val="center"/>
          </w:tcPr>
          <w:p w14:paraId="1C8D0C6B">
            <w:pPr>
              <w:tabs>
                <w:tab w:val="left" w:pos="1337"/>
              </w:tabs>
              <w:spacing w:line="360" w:lineRule="auto"/>
              <w:jc w:val="center"/>
              <w:rPr>
                <w:rFonts w:ascii="宋体" w:hAnsi="宋体"/>
                <w:sz w:val="24"/>
                <w:highlight w:val="none"/>
              </w:rPr>
            </w:pPr>
          </w:p>
        </w:tc>
        <w:tc>
          <w:tcPr>
            <w:tcW w:w="1675" w:type="dxa"/>
            <w:noWrap w:val="0"/>
            <w:vAlign w:val="center"/>
          </w:tcPr>
          <w:p w14:paraId="5728A793">
            <w:pPr>
              <w:tabs>
                <w:tab w:val="left" w:pos="1337"/>
              </w:tabs>
              <w:spacing w:line="360" w:lineRule="auto"/>
              <w:jc w:val="center"/>
              <w:rPr>
                <w:rFonts w:ascii="宋体" w:hAnsi="宋体"/>
                <w:sz w:val="24"/>
                <w:highlight w:val="none"/>
              </w:rPr>
            </w:pPr>
          </w:p>
        </w:tc>
        <w:tc>
          <w:tcPr>
            <w:tcW w:w="1539" w:type="dxa"/>
            <w:noWrap w:val="0"/>
            <w:vAlign w:val="center"/>
          </w:tcPr>
          <w:p w14:paraId="5E3D8B04">
            <w:pPr>
              <w:tabs>
                <w:tab w:val="left" w:pos="1337"/>
              </w:tabs>
              <w:spacing w:line="360" w:lineRule="auto"/>
              <w:jc w:val="center"/>
              <w:rPr>
                <w:rFonts w:ascii="宋体" w:hAnsi="宋体"/>
                <w:sz w:val="24"/>
                <w:highlight w:val="none"/>
              </w:rPr>
            </w:pPr>
          </w:p>
        </w:tc>
        <w:tc>
          <w:tcPr>
            <w:tcW w:w="1411" w:type="dxa"/>
            <w:noWrap w:val="0"/>
            <w:vAlign w:val="center"/>
          </w:tcPr>
          <w:p w14:paraId="35945700">
            <w:pPr>
              <w:tabs>
                <w:tab w:val="left" w:pos="1337"/>
              </w:tabs>
              <w:spacing w:line="360" w:lineRule="auto"/>
              <w:jc w:val="center"/>
              <w:rPr>
                <w:rFonts w:ascii="宋体" w:hAnsi="宋体"/>
                <w:sz w:val="24"/>
                <w:highlight w:val="none"/>
              </w:rPr>
            </w:pPr>
          </w:p>
        </w:tc>
      </w:tr>
      <w:tr w14:paraId="3EAD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988" w:type="dxa"/>
            <w:noWrap w:val="0"/>
            <w:vAlign w:val="center"/>
          </w:tcPr>
          <w:p w14:paraId="32757596">
            <w:pPr>
              <w:tabs>
                <w:tab w:val="left" w:pos="1337"/>
              </w:tabs>
              <w:spacing w:line="360" w:lineRule="auto"/>
              <w:jc w:val="center"/>
              <w:rPr>
                <w:rFonts w:ascii="宋体" w:hAnsi="宋体"/>
                <w:sz w:val="24"/>
                <w:highlight w:val="none"/>
              </w:rPr>
            </w:pPr>
          </w:p>
        </w:tc>
        <w:tc>
          <w:tcPr>
            <w:tcW w:w="1546" w:type="dxa"/>
            <w:noWrap w:val="0"/>
            <w:vAlign w:val="center"/>
          </w:tcPr>
          <w:p w14:paraId="1199B7B6">
            <w:pPr>
              <w:tabs>
                <w:tab w:val="left" w:pos="1337"/>
              </w:tabs>
              <w:spacing w:line="360" w:lineRule="auto"/>
              <w:jc w:val="center"/>
              <w:rPr>
                <w:rFonts w:ascii="宋体" w:hAnsi="宋体"/>
                <w:sz w:val="24"/>
                <w:highlight w:val="none"/>
              </w:rPr>
            </w:pPr>
          </w:p>
        </w:tc>
        <w:tc>
          <w:tcPr>
            <w:tcW w:w="1678" w:type="dxa"/>
            <w:noWrap w:val="0"/>
            <w:vAlign w:val="center"/>
          </w:tcPr>
          <w:p w14:paraId="2A9EF832">
            <w:pPr>
              <w:tabs>
                <w:tab w:val="left" w:pos="1337"/>
              </w:tabs>
              <w:spacing w:line="360" w:lineRule="auto"/>
              <w:jc w:val="center"/>
              <w:rPr>
                <w:rFonts w:ascii="宋体" w:hAnsi="宋体"/>
                <w:sz w:val="24"/>
                <w:highlight w:val="none"/>
              </w:rPr>
            </w:pPr>
          </w:p>
        </w:tc>
        <w:tc>
          <w:tcPr>
            <w:tcW w:w="1675" w:type="dxa"/>
            <w:noWrap w:val="0"/>
            <w:vAlign w:val="center"/>
          </w:tcPr>
          <w:p w14:paraId="228592B9">
            <w:pPr>
              <w:tabs>
                <w:tab w:val="left" w:pos="1337"/>
              </w:tabs>
              <w:spacing w:line="360" w:lineRule="auto"/>
              <w:jc w:val="center"/>
              <w:rPr>
                <w:rFonts w:ascii="宋体" w:hAnsi="宋体"/>
                <w:sz w:val="24"/>
                <w:highlight w:val="none"/>
              </w:rPr>
            </w:pPr>
          </w:p>
        </w:tc>
        <w:tc>
          <w:tcPr>
            <w:tcW w:w="1539" w:type="dxa"/>
            <w:noWrap w:val="0"/>
            <w:vAlign w:val="center"/>
          </w:tcPr>
          <w:p w14:paraId="09E3DFF3">
            <w:pPr>
              <w:tabs>
                <w:tab w:val="left" w:pos="1337"/>
              </w:tabs>
              <w:spacing w:line="360" w:lineRule="auto"/>
              <w:jc w:val="center"/>
              <w:rPr>
                <w:rFonts w:ascii="宋体" w:hAnsi="宋体"/>
                <w:sz w:val="24"/>
                <w:highlight w:val="none"/>
              </w:rPr>
            </w:pPr>
          </w:p>
        </w:tc>
        <w:tc>
          <w:tcPr>
            <w:tcW w:w="1411" w:type="dxa"/>
            <w:noWrap w:val="0"/>
            <w:vAlign w:val="center"/>
          </w:tcPr>
          <w:p w14:paraId="75C6C80B">
            <w:pPr>
              <w:tabs>
                <w:tab w:val="left" w:pos="1337"/>
              </w:tabs>
              <w:spacing w:line="360" w:lineRule="auto"/>
              <w:jc w:val="center"/>
              <w:rPr>
                <w:rFonts w:ascii="宋体" w:hAnsi="宋体"/>
                <w:sz w:val="24"/>
                <w:highlight w:val="none"/>
              </w:rPr>
            </w:pPr>
          </w:p>
        </w:tc>
      </w:tr>
      <w:tr w14:paraId="36BD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88" w:type="dxa"/>
            <w:noWrap w:val="0"/>
            <w:vAlign w:val="center"/>
          </w:tcPr>
          <w:p w14:paraId="79F9F6DC">
            <w:pPr>
              <w:tabs>
                <w:tab w:val="left" w:pos="1337"/>
              </w:tabs>
              <w:spacing w:line="360" w:lineRule="auto"/>
              <w:jc w:val="center"/>
              <w:rPr>
                <w:rFonts w:ascii="宋体" w:hAnsi="宋体"/>
                <w:sz w:val="24"/>
                <w:highlight w:val="none"/>
              </w:rPr>
            </w:pPr>
          </w:p>
        </w:tc>
        <w:tc>
          <w:tcPr>
            <w:tcW w:w="1546" w:type="dxa"/>
            <w:noWrap w:val="0"/>
            <w:vAlign w:val="center"/>
          </w:tcPr>
          <w:p w14:paraId="14663454">
            <w:pPr>
              <w:tabs>
                <w:tab w:val="left" w:pos="1337"/>
              </w:tabs>
              <w:spacing w:line="360" w:lineRule="auto"/>
              <w:jc w:val="center"/>
              <w:rPr>
                <w:rFonts w:ascii="宋体" w:hAnsi="宋体"/>
                <w:sz w:val="24"/>
                <w:highlight w:val="none"/>
              </w:rPr>
            </w:pPr>
          </w:p>
        </w:tc>
        <w:tc>
          <w:tcPr>
            <w:tcW w:w="1678" w:type="dxa"/>
            <w:noWrap w:val="0"/>
            <w:vAlign w:val="center"/>
          </w:tcPr>
          <w:p w14:paraId="27BA2B5E">
            <w:pPr>
              <w:tabs>
                <w:tab w:val="left" w:pos="1337"/>
              </w:tabs>
              <w:spacing w:line="360" w:lineRule="auto"/>
              <w:jc w:val="center"/>
              <w:rPr>
                <w:rFonts w:ascii="宋体" w:hAnsi="宋体"/>
                <w:sz w:val="24"/>
                <w:highlight w:val="none"/>
              </w:rPr>
            </w:pPr>
          </w:p>
        </w:tc>
        <w:tc>
          <w:tcPr>
            <w:tcW w:w="1675" w:type="dxa"/>
            <w:noWrap w:val="0"/>
            <w:vAlign w:val="center"/>
          </w:tcPr>
          <w:p w14:paraId="17AF03BD">
            <w:pPr>
              <w:tabs>
                <w:tab w:val="left" w:pos="1337"/>
              </w:tabs>
              <w:spacing w:line="360" w:lineRule="auto"/>
              <w:jc w:val="center"/>
              <w:rPr>
                <w:rFonts w:ascii="宋体" w:hAnsi="宋体"/>
                <w:sz w:val="24"/>
                <w:highlight w:val="none"/>
              </w:rPr>
            </w:pPr>
          </w:p>
        </w:tc>
        <w:tc>
          <w:tcPr>
            <w:tcW w:w="1539" w:type="dxa"/>
            <w:noWrap w:val="0"/>
            <w:vAlign w:val="center"/>
          </w:tcPr>
          <w:p w14:paraId="1B0BCF1F">
            <w:pPr>
              <w:tabs>
                <w:tab w:val="left" w:pos="1337"/>
              </w:tabs>
              <w:spacing w:line="360" w:lineRule="auto"/>
              <w:jc w:val="center"/>
              <w:rPr>
                <w:rFonts w:ascii="宋体" w:hAnsi="宋体"/>
                <w:sz w:val="24"/>
                <w:highlight w:val="none"/>
              </w:rPr>
            </w:pPr>
          </w:p>
        </w:tc>
        <w:tc>
          <w:tcPr>
            <w:tcW w:w="1411" w:type="dxa"/>
            <w:noWrap w:val="0"/>
            <w:vAlign w:val="center"/>
          </w:tcPr>
          <w:p w14:paraId="0E3ACDB4">
            <w:pPr>
              <w:tabs>
                <w:tab w:val="left" w:pos="1337"/>
              </w:tabs>
              <w:spacing w:line="360" w:lineRule="auto"/>
              <w:jc w:val="center"/>
              <w:rPr>
                <w:rFonts w:ascii="宋体" w:hAnsi="宋体"/>
                <w:sz w:val="24"/>
                <w:highlight w:val="none"/>
              </w:rPr>
            </w:pPr>
          </w:p>
        </w:tc>
      </w:tr>
      <w:tr w14:paraId="6FE5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88" w:type="dxa"/>
            <w:noWrap w:val="0"/>
            <w:vAlign w:val="center"/>
          </w:tcPr>
          <w:p w14:paraId="30CC2AC2">
            <w:pPr>
              <w:tabs>
                <w:tab w:val="left" w:pos="1337"/>
              </w:tabs>
              <w:spacing w:line="360" w:lineRule="auto"/>
              <w:jc w:val="center"/>
              <w:rPr>
                <w:rFonts w:ascii="宋体" w:hAnsi="宋体"/>
                <w:sz w:val="24"/>
                <w:highlight w:val="none"/>
              </w:rPr>
            </w:pPr>
          </w:p>
        </w:tc>
        <w:tc>
          <w:tcPr>
            <w:tcW w:w="1546" w:type="dxa"/>
            <w:noWrap w:val="0"/>
            <w:vAlign w:val="center"/>
          </w:tcPr>
          <w:p w14:paraId="571EBA2F">
            <w:pPr>
              <w:tabs>
                <w:tab w:val="left" w:pos="1337"/>
              </w:tabs>
              <w:spacing w:line="360" w:lineRule="auto"/>
              <w:jc w:val="center"/>
              <w:rPr>
                <w:rFonts w:ascii="宋体" w:hAnsi="宋体"/>
                <w:sz w:val="24"/>
                <w:highlight w:val="none"/>
              </w:rPr>
            </w:pPr>
          </w:p>
        </w:tc>
        <w:tc>
          <w:tcPr>
            <w:tcW w:w="1678" w:type="dxa"/>
            <w:noWrap w:val="0"/>
            <w:vAlign w:val="center"/>
          </w:tcPr>
          <w:p w14:paraId="7FEF99B0">
            <w:pPr>
              <w:tabs>
                <w:tab w:val="left" w:pos="1337"/>
              </w:tabs>
              <w:spacing w:line="360" w:lineRule="auto"/>
              <w:jc w:val="center"/>
              <w:rPr>
                <w:rFonts w:ascii="宋体" w:hAnsi="宋体"/>
                <w:sz w:val="24"/>
                <w:highlight w:val="none"/>
              </w:rPr>
            </w:pPr>
          </w:p>
        </w:tc>
        <w:tc>
          <w:tcPr>
            <w:tcW w:w="1675" w:type="dxa"/>
            <w:noWrap w:val="0"/>
            <w:vAlign w:val="center"/>
          </w:tcPr>
          <w:p w14:paraId="1E11CCEC">
            <w:pPr>
              <w:tabs>
                <w:tab w:val="left" w:pos="1337"/>
              </w:tabs>
              <w:spacing w:line="360" w:lineRule="auto"/>
              <w:jc w:val="center"/>
              <w:rPr>
                <w:rFonts w:ascii="宋体" w:hAnsi="宋体"/>
                <w:sz w:val="24"/>
                <w:highlight w:val="none"/>
              </w:rPr>
            </w:pPr>
          </w:p>
        </w:tc>
        <w:tc>
          <w:tcPr>
            <w:tcW w:w="1539" w:type="dxa"/>
            <w:noWrap w:val="0"/>
            <w:vAlign w:val="center"/>
          </w:tcPr>
          <w:p w14:paraId="7C8DDB9A">
            <w:pPr>
              <w:tabs>
                <w:tab w:val="left" w:pos="1337"/>
              </w:tabs>
              <w:spacing w:line="360" w:lineRule="auto"/>
              <w:jc w:val="center"/>
              <w:rPr>
                <w:rFonts w:ascii="宋体" w:hAnsi="宋体"/>
                <w:sz w:val="24"/>
                <w:highlight w:val="none"/>
              </w:rPr>
            </w:pPr>
          </w:p>
        </w:tc>
        <w:tc>
          <w:tcPr>
            <w:tcW w:w="1411" w:type="dxa"/>
            <w:noWrap w:val="0"/>
            <w:vAlign w:val="center"/>
          </w:tcPr>
          <w:p w14:paraId="1BC20F9E">
            <w:pPr>
              <w:tabs>
                <w:tab w:val="left" w:pos="1337"/>
              </w:tabs>
              <w:spacing w:line="360" w:lineRule="auto"/>
              <w:jc w:val="center"/>
              <w:rPr>
                <w:rFonts w:ascii="宋体" w:hAnsi="宋体"/>
                <w:sz w:val="24"/>
                <w:highlight w:val="none"/>
              </w:rPr>
            </w:pPr>
          </w:p>
        </w:tc>
      </w:tr>
      <w:tr w14:paraId="0696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88" w:type="dxa"/>
            <w:noWrap w:val="0"/>
            <w:vAlign w:val="center"/>
          </w:tcPr>
          <w:p w14:paraId="428B1649">
            <w:pPr>
              <w:tabs>
                <w:tab w:val="left" w:pos="1337"/>
              </w:tabs>
              <w:spacing w:line="360" w:lineRule="auto"/>
              <w:jc w:val="center"/>
              <w:rPr>
                <w:rFonts w:ascii="宋体" w:hAnsi="宋体"/>
                <w:sz w:val="24"/>
                <w:highlight w:val="none"/>
              </w:rPr>
            </w:pPr>
          </w:p>
        </w:tc>
        <w:tc>
          <w:tcPr>
            <w:tcW w:w="1546" w:type="dxa"/>
            <w:noWrap w:val="0"/>
            <w:vAlign w:val="center"/>
          </w:tcPr>
          <w:p w14:paraId="6749EBEB">
            <w:pPr>
              <w:tabs>
                <w:tab w:val="left" w:pos="1337"/>
              </w:tabs>
              <w:spacing w:line="360" w:lineRule="auto"/>
              <w:jc w:val="center"/>
              <w:rPr>
                <w:rFonts w:ascii="宋体" w:hAnsi="宋体"/>
                <w:sz w:val="24"/>
                <w:highlight w:val="none"/>
              </w:rPr>
            </w:pPr>
          </w:p>
        </w:tc>
        <w:tc>
          <w:tcPr>
            <w:tcW w:w="1678" w:type="dxa"/>
            <w:noWrap w:val="0"/>
            <w:vAlign w:val="center"/>
          </w:tcPr>
          <w:p w14:paraId="57984EA7">
            <w:pPr>
              <w:tabs>
                <w:tab w:val="left" w:pos="1337"/>
              </w:tabs>
              <w:spacing w:line="360" w:lineRule="auto"/>
              <w:jc w:val="center"/>
              <w:rPr>
                <w:rFonts w:ascii="宋体" w:hAnsi="宋体"/>
                <w:sz w:val="24"/>
                <w:highlight w:val="none"/>
              </w:rPr>
            </w:pPr>
          </w:p>
        </w:tc>
        <w:tc>
          <w:tcPr>
            <w:tcW w:w="1675" w:type="dxa"/>
            <w:noWrap w:val="0"/>
            <w:vAlign w:val="center"/>
          </w:tcPr>
          <w:p w14:paraId="0C0A8834">
            <w:pPr>
              <w:tabs>
                <w:tab w:val="left" w:pos="1337"/>
              </w:tabs>
              <w:spacing w:line="360" w:lineRule="auto"/>
              <w:jc w:val="center"/>
              <w:rPr>
                <w:rFonts w:ascii="宋体" w:hAnsi="宋体"/>
                <w:sz w:val="24"/>
                <w:highlight w:val="none"/>
              </w:rPr>
            </w:pPr>
          </w:p>
        </w:tc>
        <w:tc>
          <w:tcPr>
            <w:tcW w:w="1539" w:type="dxa"/>
            <w:noWrap w:val="0"/>
            <w:vAlign w:val="center"/>
          </w:tcPr>
          <w:p w14:paraId="6C2395F2">
            <w:pPr>
              <w:tabs>
                <w:tab w:val="left" w:pos="1337"/>
              </w:tabs>
              <w:spacing w:line="360" w:lineRule="auto"/>
              <w:jc w:val="center"/>
              <w:rPr>
                <w:rFonts w:ascii="宋体" w:hAnsi="宋体"/>
                <w:sz w:val="24"/>
                <w:highlight w:val="none"/>
              </w:rPr>
            </w:pPr>
          </w:p>
        </w:tc>
        <w:tc>
          <w:tcPr>
            <w:tcW w:w="1411" w:type="dxa"/>
            <w:noWrap w:val="0"/>
            <w:vAlign w:val="center"/>
          </w:tcPr>
          <w:p w14:paraId="28388EB4">
            <w:pPr>
              <w:tabs>
                <w:tab w:val="left" w:pos="1337"/>
              </w:tabs>
              <w:spacing w:line="360" w:lineRule="auto"/>
              <w:jc w:val="center"/>
              <w:rPr>
                <w:rFonts w:ascii="宋体" w:hAnsi="宋体"/>
                <w:sz w:val="24"/>
                <w:highlight w:val="none"/>
              </w:rPr>
            </w:pPr>
          </w:p>
        </w:tc>
      </w:tr>
      <w:tr w14:paraId="1B59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88" w:type="dxa"/>
            <w:noWrap w:val="0"/>
            <w:vAlign w:val="center"/>
          </w:tcPr>
          <w:p w14:paraId="552AFEB9">
            <w:pPr>
              <w:tabs>
                <w:tab w:val="left" w:pos="1337"/>
              </w:tabs>
              <w:spacing w:line="360" w:lineRule="auto"/>
              <w:jc w:val="center"/>
              <w:rPr>
                <w:rFonts w:ascii="宋体" w:hAnsi="宋体"/>
                <w:sz w:val="24"/>
                <w:highlight w:val="none"/>
              </w:rPr>
            </w:pPr>
          </w:p>
        </w:tc>
        <w:tc>
          <w:tcPr>
            <w:tcW w:w="1546" w:type="dxa"/>
            <w:noWrap w:val="0"/>
            <w:vAlign w:val="center"/>
          </w:tcPr>
          <w:p w14:paraId="5B1899D7">
            <w:pPr>
              <w:tabs>
                <w:tab w:val="left" w:pos="1337"/>
              </w:tabs>
              <w:spacing w:line="360" w:lineRule="auto"/>
              <w:jc w:val="center"/>
              <w:rPr>
                <w:rFonts w:ascii="宋体" w:hAnsi="宋体"/>
                <w:sz w:val="24"/>
                <w:highlight w:val="none"/>
              </w:rPr>
            </w:pPr>
          </w:p>
        </w:tc>
        <w:tc>
          <w:tcPr>
            <w:tcW w:w="1678" w:type="dxa"/>
            <w:noWrap w:val="0"/>
            <w:vAlign w:val="center"/>
          </w:tcPr>
          <w:p w14:paraId="2504EEB1">
            <w:pPr>
              <w:tabs>
                <w:tab w:val="left" w:pos="1337"/>
              </w:tabs>
              <w:spacing w:line="360" w:lineRule="auto"/>
              <w:jc w:val="center"/>
              <w:rPr>
                <w:rFonts w:ascii="宋体" w:hAnsi="宋体"/>
                <w:sz w:val="24"/>
                <w:highlight w:val="none"/>
              </w:rPr>
            </w:pPr>
          </w:p>
        </w:tc>
        <w:tc>
          <w:tcPr>
            <w:tcW w:w="1675" w:type="dxa"/>
            <w:noWrap w:val="0"/>
            <w:vAlign w:val="center"/>
          </w:tcPr>
          <w:p w14:paraId="60E7E13A">
            <w:pPr>
              <w:tabs>
                <w:tab w:val="left" w:pos="1337"/>
              </w:tabs>
              <w:spacing w:line="360" w:lineRule="auto"/>
              <w:jc w:val="center"/>
              <w:rPr>
                <w:rFonts w:ascii="宋体" w:hAnsi="宋体"/>
                <w:sz w:val="24"/>
                <w:highlight w:val="none"/>
              </w:rPr>
            </w:pPr>
          </w:p>
        </w:tc>
        <w:tc>
          <w:tcPr>
            <w:tcW w:w="1539" w:type="dxa"/>
            <w:noWrap w:val="0"/>
            <w:vAlign w:val="center"/>
          </w:tcPr>
          <w:p w14:paraId="17512FEF">
            <w:pPr>
              <w:tabs>
                <w:tab w:val="left" w:pos="1337"/>
              </w:tabs>
              <w:spacing w:line="360" w:lineRule="auto"/>
              <w:jc w:val="center"/>
              <w:rPr>
                <w:rFonts w:ascii="宋体" w:hAnsi="宋体"/>
                <w:sz w:val="24"/>
                <w:highlight w:val="none"/>
              </w:rPr>
            </w:pPr>
          </w:p>
        </w:tc>
        <w:tc>
          <w:tcPr>
            <w:tcW w:w="1411" w:type="dxa"/>
            <w:noWrap w:val="0"/>
            <w:vAlign w:val="center"/>
          </w:tcPr>
          <w:p w14:paraId="44AA46BE">
            <w:pPr>
              <w:tabs>
                <w:tab w:val="left" w:pos="1337"/>
              </w:tabs>
              <w:spacing w:line="360" w:lineRule="auto"/>
              <w:jc w:val="center"/>
              <w:rPr>
                <w:rFonts w:ascii="宋体" w:hAnsi="宋体"/>
                <w:sz w:val="24"/>
                <w:highlight w:val="none"/>
              </w:rPr>
            </w:pPr>
          </w:p>
        </w:tc>
      </w:tr>
      <w:tr w14:paraId="6BB6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88" w:type="dxa"/>
            <w:noWrap w:val="0"/>
            <w:vAlign w:val="center"/>
          </w:tcPr>
          <w:p w14:paraId="374798C3">
            <w:pPr>
              <w:tabs>
                <w:tab w:val="left" w:pos="1337"/>
              </w:tabs>
              <w:spacing w:line="360" w:lineRule="auto"/>
              <w:jc w:val="center"/>
              <w:rPr>
                <w:rFonts w:ascii="宋体" w:hAnsi="宋体"/>
                <w:sz w:val="24"/>
                <w:highlight w:val="none"/>
              </w:rPr>
            </w:pPr>
          </w:p>
        </w:tc>
        <w:tc>
          <w:tcPr>
            <w:tcW w:w="1546" w:type="dxa"/>
            <w:noWrap w:val="0"/>
            <w:vAlign w:val="center"/>
          </w:tcPr>
          <w:p w14:paraId="4270044F">
            <w:pPr>
              <w:tabs>
                <w:tab w:val="left" w:pos="1337"/>
              </w:tabs>
              <w:spacing w:line="360" w:lineRule="auto"/>
              <w:jc w:val="center"/>
              <w:rPr>
                <w:rFonts w:ascii="宋体" w:hAnsi="宋体"/>
                <w:sz w:val="24"/>
                <w:highlight w:val="none"/>
              </w:rPr>
            </w:pPr>
          </w:p>
        </w:tc>
        <w:tc>
          <w:tcPr>
            <w:tcW w:w="1678" w:type="dxa"/>
            <w:noWrap w:val="0"/>
            <w:vAlign w:val="center"/>
          </w:tcPr>
          <w:p w14:paraId="690A1D84">
            <w:pPr>
              <w:tabs>
                <w:tab w:val="left" w:pos="1337"/>
              </w:tabs>
              <w:spacing w:line="360" w:lineRule="auto"/>
              <w:jc w:val="center"/>
              <w:rPr>
                <w:rFonts w:ascii="宋体" w:hAnsi="宋体"/>
                <w:sz w:val="24"/>
                <w:highlight w:val="none"/>
              </w:rPr>
            </w:pPr>
          </w:p>
        </w:tc>
        <w:tc>
          <w:tcPr>
            <w:tcW w:w="1675" w:type="dxa"/>
            <w:noWrap w:val="0"/>
            <w:vAlign w:val="center"/>
          </w:tcPr>
          <w:p w14:paraId="6ED7982D">
            <w:pPr>
              <w:tabs>
                <w:tab w:val="left" w:pos="1337"/>
              </w:tabs>
              <w:spacing w:line="360" w:lineRule="auto"/>
              <w:jc w:val="center"/>
              <w:rPr>
                <w:rFonts w:ascii="宋体" w:hAnsi="宋体"/>
                <w:sz w:val="24"/>
                <w:highlight w:val="none"/>
              </w:rPr>
            </w:pPr>
          </w:p>
        </w:tc>
        <w:tc>
          <w:tcPr>
            <w:tcW w:w="1539" w:type="dxa"/>
            <w:noWrap w:val="0"/>
            <w:vAlign w:val="center"/>
          </w:tcPr>
          <w:p w14:paraId="56A05C4B">
            <w:pPr>
              <w:tabs>
                <w:tab w:val="left" w:pos="1337"/>
              </w:tabs>
              <w:spacing w:line="360" w:lineRule="auto"/>
              <w:jc w:val="center"/>
              <w:rPr>
                <w:rFonts w:ascii="宋体" w:hAnsi="宋体"/>
                <w:sz w:val="24"/>
                <w:highlight w:val="none"/>
              </w:rPr>
            </w:pPr>
          </w:p>
        </w:tc>
        <w:tc>
          <w:tcPr>
            <w:tcW w:w="1411" w:type="dxa"/>
            <w:noWrap w:val="0"/>
            <w:vAlign w:val="center"/>
          </w:tcPr>
          <w:p w14:paraId="0DD19185">
            <w:pPr>
              <w:tabs>
                <w:tab w:val="left" w:pos="1337"/>
              </w:tabs>
              <w:spacing w:line="360" w:lineRule="auto"/>
              <w:jc w:val="center"/>
              <w:rPr>
                <w:rFonts w:ascii="宋体" w:hAnsi="宋体"/>
                <w:sz w:val="24"/>
                <w:highlight w:val="none"/>
              </w:rPr>
            </w:pPr>
          </w:p>
        </w:tc>
      </w:tr>
    </w:tbl>
    <w:p w14:paraId="58AA1262">
      <w:pPr>
        <w:spacing w:line="360" w:lineRule="auto"/>
        <w:ind w:firstLine="440" w:firstLineChars="200"/>
        <w:rPr>
          <w:rFonts w:ascii="宋体" w:hAnsi="宋体"/>
          <w:sz w:val="24"/>
          <w:highlight w:val="none"/>
          <w:u w:val="single"/>
        </w:rPr>
      </w:pPr>
      <w:r>
        <w:rPr>
          <w:rFonts w:hint="eastAsia" w:ascii="宋体" w:hAnsi="宋体"/>
          <w:sz w:val="22"/>
          <w:szCs w:val="22"/>
          <w:highlight w:val="none"/>
        </w:rPr>
        <w:t>说明：①请填写招标文件已列明并要求供应商响应的如付款方式、服务期、售后服务等商务条款，并逐一作出承诺。</w:t>
      </w:r>
      <w:r>
        <w:rPr>
          <w:rFonts w:hint="eastAsia" w:ascii="宋体" w:hAnsi="宋体"/>
          <w:sz w:val="22"/>
          <w:szCs w:val="22"/>
          <w:highlight w:val="none"/>
          <w:u w:val="single"/>
        </w:rPr>
        <w:t>②</w:t>
      </w:r>
      <w:r>
        <w:rPr>
          <w:rFonts w:hint="eastAsia" w:ascii="宋体" w:hAnsi="宋体"/>
          <w:sz w:val="22"/>
          <w:szCs w:val="22"/>
          <w:highlight w:val="none"/>
        </w:rPr>
        <w:t>请供应商在填写本表时，对应招标文件要求如实填写</w:t>
      </w:r>
      <w:r>
        <w:rPr>
          <w:rFonts w:ascii="宋体"/>
          <w:sz w:val="22"/>
          <w:szCs w:val="22"/>
          <w:highlight w:val="none"/>
        </w:rPr>
        <w:t>,</w:t>
      </w:r>
      <w:r>
        <w:rPr>
          <w:rFonts w:hint="eastAsia" w:ascii="宋体"/>
          <w:sz w:val="22"/>
          <w:szCs w:val="22"/>
          <w:highlight w:val="none"/>
        </w:rPr>
        <w:t>并必须用具体数字或文字来表述，不能复制招标文件要求或仅填写“（不）偏离”或虚假应标。</w:t>
      </w:r>
      <w:r>
        <w:rPr>
          <w:rFonts w:hint="eastAsia" w:ascii="宋体" w:hAnsi="宋体"/>
          <w:sz w:val="22"/>
          <w:szCs w:val="22"/>
          <w:highlight w:val="none"/>
        </w:rPr>
        <w:t>若供应商自行承诺的售后服务承诺与此表不一致的，则评标委员会有权作出不利于供应商的认定。</w:t>
      </w:r>
    </w:p>
    <w:p w14:paraId="1B729D28">
      <w:pPr>
        <w:spacing w:line="360" w:lineRule="auto"/>
        <w:ind w:right="187"/>
        <w:rPr>
          <w:rFonts w:ascii="宋体" w:hAnsi="宋体"/>
          <w:bCs/>
          <w:sz w:val="24"/>
          <w:highlight w:val="none"/>
          <w:u w:val="single"/>
        </w:rPr>
      </w:pPr>
      <w:r>
        <w:rPr>
          <w:rFonts w:hint="eastAsia" w:ascii="宋体" w:hAnsi="宋体"/>
          <w:sz w:val="24"/>
          <w:highlight w:val="none"/>
        </w:rPr>
        <w:t>供应商单位全称</w:t>
      </w:r>
      <w:r>
        <w:rPr>
          <w:rFonts w:hint="eastAsia" w:ascii="宋体" w:hAnsi="宋体"/>
          <w:bCs/>
          <w:sz w:val="24"/>
          <w:highlight w:val="none"/>
        </w:rPr>
        <w:t>（公章）：</w:t>
      </w:r>
      <w:r>
        <w:rPr>
          <w:rFonts w:ascii="宋体" w:hAnsi="宋体"/>
          <w:bCs/>
          <w:sz w:val="24"/>
          <w:highlight w:val="none"/>
          <w:u w:val="single"/>
        </w:rPr>
        <w:t xml:space="preserve">               </w:t>
      </w:r>
    </w:p>
    <w:p w14:paraId="447384EE">
      <w:pPr>
        <w:pStyle w:val="31"/>
        <w:spacing w:line="360" w:lineRule="auto"/>
        <w:ind w:left="0" w:leftChars="0" w:firstLine="0" w:firstLineChars="0"/>
        <w:jc w:val="left"/>
        <w:rPr>
          <w:rFonts w:ascii="宋体" w:hAnsi="宋体"/>
          <w:b/>
          <w:highlight w:val="none"/>
        </w:rPr>
      </w:pPr>
      <w:r>
        <w:rPr>
          <w:rFonts w:hint="eastAsia" w:ascii="宋体" w:hAnsi="宋体"/>
          <w:bCs/>
          <w:highlight w:val="none"/>
        </w:rPr>
        <w:t>法定代表人或授权代理人签字或盖章：</w:t>
      </w:r>
      <w:r>
        <w:rPr>
          <w:rFonts w:ascii="宋体" w:hAnsi="宋体"/>
          <w:bCs/>
          <w:highlight w:val="none"/>
          <w:u w:val="single"/>
        </w:rPr>
        <w:t xml:space="preserve">     </w:t>
      </w:r>
      <w:r>
        <w:rPr>
          <w:rFonts w:ascii="宋体" w:hAnsi="宋体"/>
          <w:bCs/>
          <w:highlight w:val="none"/>
        </w:rPr>
        <w:t xml:space="preserve">    </w:t>
      </w:r>
      <w:r>
        <w:rPr>
          <w:rFonts w:hint="eastAsia" w:ascii="宋体" w:hAnsi="宋体"/>
          <w:bCs/>
          <w:highlight w:val="none"/>
        </w:rPr>
        <w:t xml:space="preserve">                  </w:t>
      </w:r>
      <w:r>
        <w:rPr>
          <w:rFonts w:ascii="宋体" w:hAnsi="宋体"/>
          <w:bCs/>
          <w:highlight w:val="none"/>
        </w:rPr>
        <w:t xml:space="preserve"> </w:t>
      </w:r>
      <w:r>
        <w:rPr>
          <w:rFonts w:hint="eastAsia" w:ascii="宋体" w:hAnsi="宋体"/>
          <w:highlight w:val="none"/>
        </w:rPr>
        <w:t>年</w:t>
      </w:r>
      <w:r>
        <w:rPr>
          <w:rFonts w:ascii="宋体" w:hAnsi="宋体"/>
          <w:highlight w:val="none"/>
        </w:rPr>
        <w:t xml:space="preserve">  </w:t>
      </w:r>
      <w:r>
        <w:rPr>
          <w:rFonts w:hint="eastAsia" w:ascii="宋体" w:hAnsi="宋体"/>
          <w:highlight w:val="none"/>
        </w:rPr>
        <w:t>月</w:t>
      </w:r>
      <w:r>
        <w:rPr>
          <w:rFonts w:ascii="宋体" w:hAnsi="宋体"/>
          <w:highlight w:val="none"/>
        </w:rPr>
        <w:t xml:space="preserve">  </w:t>
      </w:r>
      <w:r>
        <w:rPr>
          <w:rFonts w:hint="eastAsia" w:ascii="宋体" w:hAnsi="宋体"/>
          <w:highlight w:val="none"/>
        </w:rPr>
        <w:t>日</w:t>
      </w:r>
    </w:p>
    <w:p w14:paraId="351FFCE7">
      <w:pPr>
        <w:pStyle w:val="4"/>
        <w:spacing w:before="120" w:after="120" w:line="360" w:lineRule="auto"/>
        <w:rPr>
          <w:rFonts w:hint="eastAsia" w:ascii="宋体" w:hAnsi="宋体"/>
          <w:b w:val="0"/>
          <w:sz w:val="24"/>
          <w:szCs w:val="21"/>
          <w:highlight w:val="none"/>
        </w:rPr>
      </w:pPr>
      <w:r>
        <w:rPr>
          <w:rFonts w:ascii="宋体" w:hAnsi="宋体"/>
          <w:sz w:val="24"/>
          <w:highlight w:val="none"/>
        </w:rPr>
        <w:br w:type="page"/>
      </w:r>
      <w:bookmarkStart w:id="132" w:name="_Toc1686"/>
      <w:r>
        <w:rPr>
          <w:rFonts w:hint="eastAsia" w:ascii="宋体" w:hAnsi="宋体"/>
          <w:b w:val="0"/>
          <w:sz w:val="24"/>
          <w:szCs w:val="21"/>
          <w:highlight w:val="none"/>
        </w:rPr>
        <w:t>附件六：服务响应一览表</w:t>
      </w:r>
      <w:bookmarkEnd w:id="132"/>
    </w:p>
    <w:p w14:paraId="79E17ADB">
      <w:pPr>
        <w:spacing w:line="360" w:lineRule="auto"/>
        <w:jc w:val="center"/>
        <w:rPr>
          <w:rFonts w:ascii="宋体" w:hAnsi="宋体"/>
          <w:b/>
          <w:sz w:val="24"/>
          <w:highlight w:val="none"/>
        </w:rPr>
      </w:pPr>
    </w:p>
    <w:p w14:paraId="020F2490">
      <w:pPr>
        <w:spacing w:line="360" w:lineRule="auto"/>
        <w:jc w:val="center"/>
        <w:rPr>
          <w:rFonts w:ascii="宋体" w:hAnsi="宋体"/>
          <w:b/>
          <w:sz w:val="24"/>
          <w:highlight w:val="none"/>
        </w:rPr>
      </w:pPr>
      <w:r>
        <w:rPr>
          <w:rFonts w:hint="eastAsia" w:ascii="宋体" w:hAnsi="宋体"/>
          <w:b/>
          <w:sz w:val="24"/>
          <w:highlight w:val="none"/>
        </w:rPr>
        <w:t>服务响应一览表</w:t>
      </w:r>
    </w:p>
    <w:p w14:paraId="013348E0">
      <w:pPr>
        <w:pStyle w:val="31"/>
        <w:spacing w:line="360" w:lineRule="auto"/>
        <w:ind w:left="0" w:leftChars="0" w:firstLine="0" w:firstLineChars="0"/>
        <w:rPr>
          <w:rFonts w:hint="eastAsia" w:ascii="宋体" w:hAnsi="宋体"/>
          <w:bCs/>
          <w:highlight w:val="none"/>
          <w:u w:val="single"/>
        </w:rPr>
      </w:pPr>
      <w:r>
        <w:rPr>
          <w:rFonts w:hint="eastAsia" w:ascii="宋体" w:hAnsi="宋体"/>
          <w:bCs/>
          <w:highlight w:val="none"/>
        </w:rPr>
        <w:t>项目编号</w:t>
      </w:r>
      <w:r>
        <w:rPr>
          <w:rFonts w:hint="eastAsia" w:ascii="宋体" w:hAnsi="宋体"/>
          <w:b/>
          <w:bCs/>
          <w:highlight w:val="none"/>
        </w:rPr>
        <w:t>：</w:t>
      </w:r>
      <w:r>
        <w:rPr>
          <w:rFonts w:hint="eastAsia" w:ascii="宋体" w:hAnsi="宋体"/>
          <w:highlight w:val="none"/>
        </w:rPr>
        <w:t xml:space="preserve"> _______________________</w:t>
      </w:r>
      <w:r>
        <w:rPr>
          <w:rFonts w:hint="eastAsia" w:ascii="宋体" w:hAnsi="宋体"/>
          <w:bCs/>
          <w:highlight w:val="none"/>
          <w:u w:val="single"/>
        </w:rPr>
        <w:t xml:space="preserve"> </w:t>
      </w:r>
    </w:p>
    <w:p w14:paraId="0A4E208C">
      <w:pPr>
        <w:pStyle w:val="31"/>
        <w:spacing w:line="360" w:lineRule="auto"/>
        <w:ind w:left="0" w:leftChars="0" w:firstLine="0" w:firstLineChars="0"/>
        <w:rPr>
          <w:rFonts w:ascii="宋体" w:hAnsi="宋体"/>
          <w:bCs/>
          <w:highlight w:val="none"/>
        </w:rPr>
      </w:pPr>
      <w:r>
        <w:rPr>
          <w:rFonts w:hint="eastAsia" w:ascii="宋体" w:hAnsi="宋体"/>
          <w:bCs/>
          <w:highlight w:val="none"/>
        </w:rPr>
        <w:t>项目名称</w:t>
      </w:r>
      <w:r>
        <w:rPr>
          <w:rFonts w:hint="eastAsia" w:ascii="宋体" w:hAnsi="宋体"/>
          <w:b/>
          <w:bCs/>
          <w:highlight w:val="none"/>
        </w:rPr>
        <w:t>：</w:t>
      </w:r>
      <w:r>
        <w:rPr>
          <w:rFonts w:hint="eastAsia" w:ascii="宋体" w:hAnsi="宋体"/>
          <w:highlight w:val="none"/>
        </w:rPr>
        <w:t>_______________________</w:t>
      </w:r>
      <w:r>
        <w:rPr>
          <w:rFonts w:hint="eastAsia" w:ascii="宋体" w:hAnsi="宋体"/>
          <w:bCs/>
          <w:highlight w:val="none"/>
          <w:u w:val="single"/>
        </w:rPr>
        <w:t xml:space="preserve"> </w:t>
      </w:r>
      <w:r>
        <w:rPr>
          <w:rFonts w:hint="eastAsia" w:ascii="宋体" w:hAnsi="宋体"/>
          <w:bCs/>
          <w:highlight w:val="none"/>
        </w:rPr>
        <w:t xml:space="preserve">   </w:t>
      </w:r>
      <w:r>
        <w:rPr>
          <w:rFonts w:ascii="宋体" w:hAnsi="宋体"/>
          <w:b/>
          <w:bCs/>
          <w:highlight w:val="none"/>
        </w:rPr>
        <w:t xml:space="preserve">     </w:t>
      </w:r>
      <w:r>
        <w:rPr>
          <w:rFonts w:hint="eastAsia" w:ascii="宋体" w:hAnsi="宋体"/>
          <w:highlight w:val="none"/>
          <w:lang w:val="en-US" w:eastAsia="zh-CN"/>
        </w:rPr>
        <w:t>包号：</w:t>
      </w:r>
      <w:r>
        <w:rPr>
          <w:rFonts w:hint="eastAsia" w:ascii="宋体" w:hAnsi="宋体"/>
          <w:highlight w:val="none"/>
        </w:rPr>
        <w:t>___________</w:t>
      </w:r>
      <w:r>
        <w:rPr>
          <w:rFonts w:hint="eastAsia" w:ascii="宋体" w:hAnsi="宋体"/>
          <w:highlight w:val="none"/>
          <w:lang w:val="en-US" w:eastAsia="zh-CN"/>
        </w:rPr>
        <w:t xml:space="preserve"> </w:t>
      </w:r>
      <w:r>
        <w:rPr>
          <w:rFonts w:hint="eastAsia" w:ascii="宋体" w:hAnsi="宋体"/>
          <w:bCs/>
          <w:highlight w:val="none"/>
          <w:u w:val="single"/>
        </w:rPr>
        <w:t xml:space="preserve"> </w:t>
      </w:r>
      <w:r>
        <w:rPr>
          <w:rFonts w:hint="eastAsia" w:ascii="宋体" w:hAnsi="宋体"/>
          <w:bCs/>
          <w:highlight w:val="none"/>
          <w:u w:val="none"/>
        </w:rPr>
        <w:t xml:space="preserve"> </w:t>
      </w:r>
      <w:r>
        <w:rPr>
          <w:rFonts w:hint="eastAsia" w:ascii="宋体" w:hAnsi="宋体"/>
          <w:bCs/>
          <w:highlight w:val="none"/>
          <w:u w:val="none"/>
          <w:lang w:val="en-US" w:eastAsia="zh-CN"/>
        </w:rPr>
        <w:t xml:space="preserve">  </w:t>
      </w:r>
      <w:r>
        <w:rPr>
          <w:rFonts w:ascii="宋体" w:hAnsi="宋体"/>
          <w:bCs/>
          <w:highlight w:val="none"/>
        </w:rPr>
        <w:t xml:space="preserve">                                           </w:t>
      </w:r>
    </w:p>
    <w:tbl>
      <w:tblPr>
        <w:tblStyle w:val="75"/>
        <w:tblW w:w="8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802"/>
        <w:gridCol w:w="1956"/>
        <w:gridCol w:w="1954"/>
        <w:gridCol w:w="1794"/>
      </w:tblGrid>
      <w:tr w14:paraId="27FE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152" w:type="dxa"/>
            <w:noWrap w:val="0"/>
            <w:vAlign w:val="center"/>
          </w:tcPr>
          <w:p w14:paraId="669BF305">
            <w:pPr>
              <w:tabs>
                <w:tab w:val="left" w:pos="1337"/>
              </w:tabs>
              <w:spacing w:line="360" w:lineRule="auto"/>
              <w:jc w:val="center"/>
              <w:rPr>
                <w:rFonts w:ascii="宋体" w:hAnsi="宋体"/>
                <w:bCs/>
                <w:sz w:val="24"/>
                <w:highlight w:val="none"/>
              </w:rPr>
            </w:pPr>
            <w:r>
              <w:rPr>
                <w:rFonts w:hint="eastAsia" w:ascii="宋体" w:hAnsi="宋体"/>
                <w:bCs/>
                <w:sz w:val="24"/>
                <w:highlight w:val="none"/>
              </w:rPr>
              <w:t>序号</w:t>
            </w:r>
          </w:p>
        </w:tc>
        <w:tc>
          <w:tcPr>
            <w:tcW w:w="1802" w:type="dxa"/>
            <w:noWrap w:val="0"/>
            <w:vAlign w:val="center"/>
          </w:tcPr>
          <w:p w14:paraId="3F72CAF8">
            <w:pPr>
              <w:tabs>
                <w:tab w:val="left" w:pos="1337"/>
              </w:tabs>
              <w:spacing w:line="360" w:lineRule="auto"/>
              <w:jc w:val="center"/>
              <w:rPr>
                <w:rFonts w:ascii="宋体" w:hAnsi="宋体"/>
                <w:bCs/>
                <w:sz w:val="24"/>
                <w:highlight w:val="none"/>
              </w:rPr>
            </w:pPr>
            <w:r>
              <w:rPr>
                <w:rFonts w:hint="eastAsia" w:ascii="宋体" w:hAnsi="宋体"/>
                <w:bCs/>
                <w:sz w:val="24"/>
                <w:highlight w:val="none"/>
              </w:rPr>
              <w:t>招标文件</w:t>
            </w:r>
          </w:p>
          <w:p w14:paraId="56F7E46E">
            <w:pPr>
              <w:tabs>
                <w:tab w:val="left" w:pos="1337"/>
              </w:tabs>
              <w:spacing w:line="360" w:lineRule="auto"/>
              <w:jc w:val="center"/>
              <w:rPr>
                <w:rFonts w:ascii="宋体" w:hAnsi="宋体"/>
                <w:bCs/>
                <w:sz w:val="24"/>
                <w:highlight w:val="none"/>
              </w:rPr>
            </w:pPr>
            <w:r>
              <w:rPr>
                <w:rFonts w:hint="eastAsia" w:ascii="宋体" w:hAnsi="宋体"/>
                <w:bCs/>
                <w:sz w:val="24"/>
                <w:highlight w:val="none"/>
              </w:rPr>
              <w:t>条目号</w:t>
            </w:r>
          </w:p>
        </w:tc>
        <w:tc>
          <w:tcPr>
            <w:tcW w:w="1956" w:type="dxa"/>
            <w:noWrap w:val="0"/>
            <w:vAlign w:val="center"/>
          </w:tcPr>
          <w:p w14:paraId="559EABF4">
            <w:pPr>
              <w:tabs>
                <w:tab w:val="left" w:pos="1337"/>
              </w:tabs>
              <w:spacing w:line="360" w:lineRule="auto"/>
              <w:jc w:val="center"/>
              <w:rPr>
                <w:rFonts w:ascii="宋体" w:hAnsi="宋体"/>
                <w:bCs/>
                <w:sz w:val="24"/>
                <w:highlight w:val="none"/>
              </w:rPr>
            </w:pPr>
            <w:r>
              <w:rPr>
                <w:rFonts w:hint="eastAsia" w:ascii="宋体" w:hAnsi="宋体"/>
                <w:bCs/>
                <w:sz w:val="24"/>
                <w:highlight w:val="none"/>
              </w:rPr>
              <w:t>招标文件</w:t>
            </w:r>
          </w:p>
          <w:p w14:paraId="7D993449">
            <w:pPr>
              <w:tabs>
                <w:tab w:val="left" w:pos="1337"/>
              </w:tabs>
              <w:spacing w:line="360" w:lineRule="auto"/>
              <w:jc w:val="center"/>
              <w:rPr>
                <w:rFonts w:ascii="宋体" w:hAnsi="宋体"/>
                <w:bCs/>
                <w:sz w:val="24"/>
                <w:highlight w:val="none"/>
              </w:rPr>
            </w:pPr>
            <w:r>
              <w:rPr>
                <w:rFonts w:hint="eastAsia" w:ascii="宋体" w:hAnsi="宋体"/>
                <w:bCs/>
                <w:sz w:val="24"/>
                <w:highlight w:val="none"/>
              </w:rPr>
              <w:t>服务要求</w:t>
            </w:r>
          </w:p>
        </w:tc>
        <w:tc>
          <w:tcPr>
            <w:tcW w:w="1954" w:type="dxa"/>
            <w:noWrap w:val="0"/>
            <w:vAlign w:val="center"/>
          </w:tcPr>
          <w:p w14:paraId="375FE6B1">
            <w:pPr>
              <w:tabs>
                <w:tab w:val="left" w:pos="1337"/>
              </w:tabs>
              <w:spacing w:line="360" w:lineRule="auto"/>
              <w:jc w:val="center"/>
              <w:rPr>
                <w:rFonts w:ascii="宋体" w:hAnsi="宋体"/>
                <w:bCs/>
                <w:sz w:val="24"/>
                <w:highlight w:val="none"/>
              </w:rPr>
            </w:pPr>
            <w:r>
              <w:rPr>
                <w:rFonts w:hint="eastAsia" w:ascii="宋体" w:hAnsi="宋体"/>
                <w:bCs/>
                <w:sz w:val="24"/>
                <w:highlight w:val="none"/>
              </w:rPr>
              <w:t>投标文件</w:t>
            </w:r>
          </w:p>
          <w:p w14:paraId="5E42D714">
            <w:pPr>
              <w:tabs>
                <w:tab w:val="left" w:pos="1337"/>
              </w:tabs>
              <w:spacing w:line="360" w:lineRule="auto"/>
              <w:jc w:val="center"/>
              <w:rPr>
                <w:rFonts w:ascii="宋体" w:hAnsi="宋体"/>
                <w:bCs/>
                <w:sz w:val="24"/>
                <w:highlight w:val="none"/>
              </w:rPr>
            </w:pPr>
            <w:r>
              <w:rPr>
                <w:rFonts w:hint="eastAsia" w:ascii="宋体" w:hAnsi="宋体"/>
                <w:bCs/>
                <w:sz w:val="24"/>
                <w:highlight w:val="none"/>
              </w:rPr>
              <w:t>实际情况</w:t>
            </w:r>
          </w:p>
        </w:tc>
        <w:tc>
          <w:tcPr>
            <w:tcW w:w="1794" w:type="dxa"/>
            <w:noWrap w:val="0"/>
            <w:vAlign w:val="center"/>
          </w:tcPr>
          <w:p w14:paraId="744BD4EF">
            <w:pPr>
              <w:tabs>
                <w:tab w:val="left" w:pos="1337"/>
              </w:tabs>
              <w:spacing w:line="360" w:lineRule="auto"/>
              <w:jc w:val="center"/>
              <w:rPr>
                <w:rFonts w:ascii="宋体" w:hAnsi="宋体"/>
                <w:bCs/>
                <w:sz w:val="24"/>
                <w:highlight w:val="none"/>
              </w:rPr>
            </w:pPr>
            <w:r>
              <w:rPr>
                <w:rFonts w:hint="eastAsia" w:ascii="宋体" w:hAnsi="宋体"/>
                <w:bCs/>
                <w:sz w:val="24"/>
                <w:highlight w:val="none"/>
              </w:rPr>
              <w:t>偏差情况</w:t>
            </w:r>
          </w:p>
        </w:tc>
      </w:tr>
      <w:tr w14:paraId="7A37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152" w:type="dxa"/>
            <w:noWrap w:val="0"/>
            <w:vAlign w:val="center"/>
          </w:tcPr>
          <w:p w14:paraId="2B91CEF5">
            <w:pPr>
              <w:tabs>
                <w:tab w:val="left" w:pos="1337"/>
              </w:tabs>
              <w:spacing w:line="360" w:lineRule="auto"/>
              <w:jc w:val="center"/>
              <w:rPr>
                <w:rFonts w:ascii="宋体" w:hAnsi="宋体"/>
                <w:sz w:val="24"/>
                <w:highlight w:val="none"/>
              </w:rPr>
            </w:pPr>
          </w:p>
        </w:tc>
        <w:tc>
          <w:tcPr>
            <w:tcW w:w="1802" w:type="dxa"/>
            <w:noWrap w:val="0"/>
            <w:vAlign w:val="center"/>
          </w:tcPr>
          <w:p w14:paraId="17B2F25D">
            <w:pPr>
              <w:tabs>
                <w:tab w:val="left" w:pos="1337"/>
              </w:tabs>
              <w:spacing w:line="360" w:lineRule="auto"/>
              <w:jc w:val="center"/>
              <w:rPr>
                <w:rFonts w:ascii="宋体" w:hAnsi="宋体"/>
                <w:sz w:val="24"/>
                <w:highlight w:val="none"/>
              </w:rPr>
            </w:pPr>
          </w:p>
        </w:tc>
        <w:tc>
          <w:tcPr>
            <w:tcW w:w="1956" w:type="dxa"/>
            <w:noWrap w:val="0"/>
            <w:vAlign w:val="center"/>
          </w:tcPr>
          <w:p w14:paraId="6A773414">
            <w:pPr>
              <w:tabs>
                <w:tab w:val="left" w:pos="1337"/>
              </w:tabs>
              <w:spacing w:line="360" w:lineRule="auto"/>
              <w:jc w:val="center"/>
              <w:rPr>
                <w:rFonts w:ascii="宋体" w:hAnsi="宋体"/>
                <w:sz w:val="24"/>
                <w:highlight w:val="none"/>
              </w:rPr>
            </w:pPr>
          </w:p>
        </w:tc>
        <w:tc>
          <w:tcPr>
            <w:tcW w:w="1954" w:type="dxa"/>
            <w:noWrap w:val="0"/>
            <w:vAlign w:val="center"/>
          </w:tcPr>
          <w:p w14:paraId="43FEAF79">
            <w:pPr>
              <w:tabs>
                <w:tab w:val="left" w:pos="1337"/>
              </w:tabs>
              <w:spacing w:line="360" w:lineRule="auto"/>
              <w:jc w:val="center"/>
              <w:rPr>
                <w:rFonts w:ascii="宋体" w:hAnsi="宋体"/>
                <w:sz w:val="24"/>
                <w:highlight w:val="none"/>
              </w:rPr>
            </w:pPr>
          </w:p>
        </w:tc>
        <w:tc>
          <w:tcPr>
            <w:tcW w:w="1794" w:type="dxa"/>
            <w:noWrap w:val="0"/>
            <w:vAlign w:val="center"/>
          </w:tcPr>
          <w:p w14:paraId="516D34BE">
            <w:pPr>
              <w:tabs>
                <w:tab w:val="left" w:pos="1337"/>
              </w:tabs>
              <w:spacing w:line="360" w:lineRule="auto"/>
              <w:jc w:val="center"/>
              <w:rPr>
                <w:rFonts w:ascii="宋体" w:hAnsi="宋体"/>
                <w:sz w:val="24"/>
                <w:highlight w:val="none"/>
              </w:rPr>
            </w:pPr>
          </w:p>
        </w:tc>
      </w:tr>
      <w:tr w14:paraId="28BA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152" w:type="dxa"/>
            <w:noWrap w:val="0"/>
            <w:vAlign w:val="center"/>
          </w:tcPr>
          <w:p w14:paraId="2B7BE124">
            <w:pPr>
              <w:tabs>
                <w:tab w:val="left" w:pos="1337"/>
              </w:tabs>
              <w:spacing w:line="360" w:lineRule="auto"/>
              <w:jc w:val="center"/>
              <w:rPr>
                <w:rFonts w:ascii="宋体" w:hAnsi="宋体"/>
                <w:sz w:val="24"/>
                <w:highlight w:val="none"/>
              </w:rPr>
            </w:pPr>
          </w:p>
        </w:tc>
        <w:tc>
          <w:tcPr>
            <w:tcW w:w="1802" w:type="dxa"/>
            <w:noWrap w:val="0"/>
            <w:vAlign w:val="center"/>
          </w:tcPr>
          <w:p w14:paraId="5A63AA01">
            <w:pPr>
              <w:tabs>
                <w:tab w:val="left" w:pos="1337"/>
              </w:tabs>
              <w:spacing w:line="360" w:lineRule="auto"/>
              <w:jc w:val="center"/>
              <w:rPr>
                <w:rFonts w:ascii="宋体" w:hAnsi="宋体"/>
                <w:sz w:val="24"/>
                <w:highlight w:val="none"/>
              </w:rPr>
            </w:pPr>
          </w:p>
        </w:tc>
        <w:tc>
          <w:tcPr>
            <w:tcW w:w="1956" w:type="dxa"/>
            <w:noWrap w:val="0"/>
            <w:vAlign w:val="center"/>
          </w:tcPr>
          <w:p w14:paraId="0E295FCC">
            <w:pPr>
              <w:tabs>
                <w:tab w:val="left" w:pos="1337"/>
              </w:tabs>
              <w:spacing w:line="360" w:lineRule="auto"/>
              <w:jc w:val="center"/>
              <w:rPr>
                <w:rFonts w:ascii="宋体" w:hAnsi="宋体"/>
                <w:sz w:val="24"/>
                <w:highlight w:val="none"/>
              </w:rPr>
            </w:pPr>
          </w:p>
        </w:tc>
        <w:tc>
          <w:tcPr>
            <w:tcW w:w="1954" w:type="dxa"/>
            <w:noWrap w:val="0"/>
            <w:vAlign w:val="center"/>
          </w:tcPr>
          <w:p w14:paraId="7655FA7F">
            <w:pPr>
              <w:tabs>
                <w:tab w:val="left" w:pos="1337"/>
              </w:tabs>
              <w:spacing w:line="360" w:lineRule="auto"/>
              <w:jc w:val="center"/>
              <w:rPr>
                <w:rFonts w:ascii="宋体" w:hAnsi="宋体"/>
                <w:sz w:val="24"/>
                <w:highlight w:val="none"/>
              </w:rPr>
            </w:pPr>
          </w:p>
        </w:tc>
        <w:tc>
          <w:tcPr>
            <w:tcW w:w="1794" w:type="dxa"/>
            <w:noWrap w:val="0"/>
            <w:vAlign w:val="center"/>
          </w:tcPr>
          <w:p w14:paraId="73EA6FE9">
            <w:pPr>
              <w:tabs>
                <w:tab w:val="left" w:pos="1337"/>
              </w:tabs>
              <w:spacing w:line="360" w:lineRule="auto"/>
              <w:jc w:val="center"/>
              <w:rPr>
                <w:rFonts w:ascii="宋体" w:hAnsi="宋体"/>
                <w:sz w:val="24"/>
                <w:highlight w:val="none"/>
              </w:rPr>
            </w:pPr>
          </w:p>
        </w:tc>
      </w:tr>
      <w:tr w14:paraId="164B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152" w:type="dxa"/>
            <w:noWrap w:val="0"/>
            <w:vAlign w:val="center"/>
          </w:tcPr>
          <w:p w14:paraId="149DF0BB">
            <w:pPr>
              <w:tabs>
                <w:tab w:val="left" w:pos="1337"/>
              </w:tabs>
              <w:spacing w:line="360" w:lineRule="auto"/>
              <w:jc w:val="center"/>
              <w:rPr>
                <w:rFonts w:ascii="宋体" w:hAnsi="宋体"/>
                <w:sz w:val="24"/>
                <w:highlight w:val="none"/>
              </w:rPr>
            </w:pPr>
          </w:p>
        </w:tc>
        <w:tc>
          <w:tcPr>
            <w:tcW w:w="1802" w:type="dxa"/>
            <w:noWrap w:val="0"/>
            <w:vAlign w:val="center"/>
          </w:tcPr>
          <w:p w14:paraId="73DB106C">
            <w:pPr>
              <w:tabs>
                <w:tab w:val="left" w:pos="1337"/>
              </w:tabs>
              <w:spacing w:line="360" w:lineRule="auto"/>
              <w:jc w:val="center"/>
              <w:rPr>
                <w:rFonts w:ascii="宋体" w:hAnsi="宋体"/>
                <w:sz w:val="24"/>
                <w:highlight w:val="none"/>
              </w:rPr>
            </w:pPr>
          </w:p>
        </w:tc>
        <w:tc>
          <w:tcPr>
            <w:tcW w:w="1956" w:type="dxa"/>
            <w:noWrap w:val="0"/>
            <w:vAlign w:val="center"/>
          </w:tcPr>
          <w:p w14:paraId="4C00A001">
            <w:pPr>
              <w:tabs>
                <w:tab w:val="left" w:pos="1337"/>
              </w:tabs>
              <w:spacing w:line="360" w:lineRule="auto"/>
              <w:jc w:val="center"/>
              <w:rPr>
                <w:rFonts w:ascii="宋体" w:hAnsi="宋体"/>
                <w:sz w:val="24"/>
                <w:highlight w:val="none"/>
              </w:rPr>
            </w:pPr>
          </w:p>
        </w:tc>
        <w:tc>
          <w:tcPr>
            <w:tcW w:w="1954" w:type="dxa"/>
            <w:noWrap w:val="0"/>
            <w:vAlign w:val="center"/>
          </w:tcPr>
          <w:p w14:paraId="4F1AC328">
            <w:pPr>
              <w:tabs>
                <w:tab w:val="left" w:pos="1337"/>
              </w:tabs>
              <w:spacing w:line="360" w:lineRule="auto"/>
              <w:jc w:val="center"/>
              <w:rPr>
                <w:rFonts w:ascii="宋体" w:hAnsi="宋体"/>
                <w:sz w:val="24"/>
                <w:highlight w:val="none"/>
              </w:rPr>
            </w:pPr>
          </w:p>
        </w:tc>
        <w:tc>
          <w:tcPr>
            <w:tcW w:w="1794" w:type="dxa"/>
            <w:noWrap w:val="0"/>
            <w:vAlign w:val="center"/>
          </w:tcPr>
          <w:p w14:paraId="60BF52B2">
            <w:pPr>
              <w:tabs>
                <w:tab w:val="left" w:pos="1337"/>
              </w:tabs>
              <w:spacing w:line="360" w:lineRule="auto"/>
              <w:jc w:val="center"/>
              <w:rPr>
                <w:rFonts w:ascii="宋体" w:hAnsi="宋体"/>
                <w:sz w:val="24"/>
                <w:highlight w:val="none"/>
              </w:rPr>
            </w:pPr>
          </w:p>
        </w:tc>
      </w:tr>
      <w:tr w14:paraId="1CAC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152" w:type="dxa"/>
            <w:noWrap w:val="0"/>
            <w:vAlign w:val="center"/>
          </w:tcPr>
          <w:p w14:paraId="54FAF4B9">
            <w:pPr>
              <w:tabs>
                <w:tab w:val="left" w:pos="1337"/>
              </w:tabs>
              <w:spacing w:line="360" w:lineRule="auto"/>
              <w:jc w:val="center"/>
              <w:rPr>
                <w:rFonts w:ascii="宋体" w:hAnsi="宋体"/>
                <w:sz w:val="24"/>
                <w:highlight w:val="none"/>
              </w:rPr>
            </w:pPr>
          </w:p>
        </w:tc>
        <w:tc>
          <w:tcPr>
            <w:tcW w:w="1802" w:type="dxa"/>
            <w:noWrap w:val="0"/>
            <w:vAlign w:val="center"/>
          </w:tcPr>
          <w:p w14:paraId="71CCD563">
            <w:pPr>
              <w:tabs>
                <w:tab w:val="left" w:pos="1337"/>
              </w:tabs>
              <w:spacing w:line="360" w:lineRule="auto"/>
              <w:jc w:val="center"/>
              <w:rPr>
                <w:rFonts w:ascii="宋体" w:hAnsi="宋体"/>
                <w:sz w:val="24"/>
                <w:highlight w:val="none"/>
              </w:rPr>
            </w:pPr>
          </w:p>
        </w:tc>
        <w:tc>
          <w:tcPr>
            <w:tcW w:w="1956" w:type="dxa"/>
            <w:noWrap w:val="0"/>
            <w:vAlign w:val="center"/>
          </w:tcPr>
          <w:p w14:paraId="2380612C">
            <w:pPr>
              <w:tabs>
                <w:tab w:val="left" w:pos="1337"/>
              </w:tabs>
              <w:spacing w:line="360" w:lineRule="auto"/>
              <w:jc w:val="center"/>
              <w:rPr>
                <w:rFonts w:ascii="宋体" w:hAnsi="宋体"/>
                <w:sz w:val="24"/>
                <w:highlight w:val="none"/>
              </w:rPr>
            </w:pPr>
          </w:p>
        </w:tc>
        <w:tc>
          <w:tcPr>
            <w:tcW w:w="1954" w:type="dxa"/>
            <w:noWrap w:val="0"/>
            <w:vAlign w:val="center"/>
          </w:tcPr>
          <w:p w14:paraId="6577ACE1">
            <w:pPr>
              <w:tabs>
                <w:tab w:val="left" w:pos="1337"/>
              </w:tabs>
              <w:spacing w:line="360" w:lineRule="auto"/>
              <w:jc w:val="center"/>
              <w:rPr>
                <w:rFonts w:ascii="宋体" w:hAnsi="宋体"/>
                <w:sz w:val="24"/>
                <w:highlight w:val="none"/>
              </w:rPr>
            </w:pPr>
          </w:p>
        </w:tc>
        <w:tc>
          <w:tcPr>
            <w:tcW w:w="1794" w:type="dxa"/>
            <w:noWrap w:val="0"/>
            <w:vAlign w:val="center"/>
          </w:tcPr>
          <w:p w14:paraId="01ED6488">
            <w:pPr>
              <w:tabs>
                <w:tab w:val="left" w:pos="1337"/>
              </w:tabs>
              <w:spacing w:line="360" w:lineRule="auto"/>
              <w:jc w:val="center"/>
              <w:rPr>
                <w:rFonts w:ascii="宋体" w:hAnsi="宋体"/>
                <w:sz w:val="24"/>
                <w:highlight w:val="none"/>
              </w:rPr>
            </w:pPr>
          </w:p>
        </w:tc>
      </w:tr>
      <w:tr w14:paraId="354F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152" w:type="dxa"/>
            <w:noWrap w:val="0"/>
            <w:vAlign w:val="center"/>
          </w:tcPr>
          <w:p w14:paraId="190EF01F">
            <w:pPr>
              <w:tabs>
                <w:tab w:val="left" w:pos="1337"/>
              </w:tabs>
              <w:spacing w:line="360" w:lineRule="auto"/>
              <w:jc w:val="center"/>
              <w:rPr>
                <w:rFonts w:ascii="宋体" w:hAnsi="宋体"/>
                <w:sz w:val="24"/>
                <w:highlight w:val="none"/>
              </w:rPr>
            </w:pPr>
          </w:p>
        </w:tc>
        <w:tc>
          <w:tcPr>
            <w:tcW w:w="1802" w:type="dxa"/>
            <w:noWrap w:val="0"/>
            <w:vAlign w:val="center"/>
          </w:tcPr>
          <w:p w14:paraId="7DB91F0F">
            <w:pPr>
              <w:tabs>
                <w:tab w:val="left" w:pos="1337"/>
              </w:tabs>
              <w:spacing w:line="360" w:lineRule="auto"/>
              <w:jc w:val="center"/>
              <w:rPr>
                <w:rFonts w:ascii="宋体" w:hAnsi="宋体"/>
                <w:sz w:val="24"/>
                <w:highlight w:val="none"/>
              </w:rPr>
            </w:pPr>
          </w:p>
        </w:tc>
        <w:tc>
          <w:tcPr>
            <w:tcW w:w="1956" w:type="dxa"/>
            <w:noWrap w:val="0"/>
            <w:vAlign w:val="center"/>
          </w:tcPr>
          <w:p w14:paraId="3C1BF309">
            <w:pPr>
              <w:tabs>
                <w:tab w:val="left" w:pos="1337"/>
              </w:tabs>
              <w:spacing w:line="360" w:lineRule="auto"/>
              <w:jc w:val="center"/>
              <w:rPr>
                <w:rFonts w:ascii="宋体" w:hAnsi="宋体"/>
                <w:sz w:val="24"/>
                <w:highlight w:val="none"/>
              </w:rPr>
            </w:pPr>
          </w:p>
        </w:tc>
        <w:tc>
          <w:tcPr>
            <w:tcW w:w="1954" w:type="dxa"/>
            <w:noWrap w:val="0"/>
            <w:vAlign w:val="center"/>
          </w:tcPr>
          <w:p w14:paraId="54F1F301">
            <w:pPr>
              <w:tabs>
                <w:tab w:val="left" w:pos="1337"/>
              </w:tabs>
              <w:spacing w:line="360" w:lineRule="auto"/>
              <w:jc w:val="center"/>
              <w:rPr>
                <w:rFonts w:ascii="宋体" w:hAnsi="宋体"/>
                <w:sz w:val="24"/>
                <w:highlight w:val="none"/>
              </w:rPr>
            </w:pPr>
          </w:p>
        </w:tc>
        <w:tc>
          <w:tcPr>
            <w:tcW w:w="1794" w:type="dxa"/>
            <w:noWrap w:val="0"/>
            <w:vAlign w:val="center"/>
          </w:tcPr>
          <w:p w14:paraId="2E405460">
            <w:pPr>
              <w:tabs>
                <w:tab w:val="left" w:pos="1337"/>
              </w:tabs>
              <w:spacing w:line="360" w:lineRule="auto"/>
              <w:jc w:val="center"/>
              <w:rPr>
                <w:rFonts w:ascii="宋体" w:hAnsi="宋体"/>
                <w:sz w:val="24"/>
                <w:highlight w:val="none"/>
              </w:rPr>
            </w:pPr>
          </w:p>
        </w:tc>
      </w:tr>
      <w:tr w14:paraId="5185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152" w:type="dxa"/>
            <w:noWrap w:val="0"/>
            <w:vAlign w:val="center"/>
          </w:tcPr>
          <w:p w14:paraId="78F368C9">
            <w:pPr>
              <w:tabs>
                <w:tab w:val="left" w:pos="1337"/>
              </w:tabs>
              <w:spacing w:line="360" w:lineRule="auto"/>
              <w:jc w:val="center"/>
              <w:rPr>
                <w:rFonts w:ascii="宋体" w:hAnsi="宋体"/>
                <w:sz w:val="24"/>
                <w:highlight w:val="none"/>
              </w:rPr>
            </w:pPr>
          </w:p>
        </w:tc>
        <w:tc>
          <w:tcPr>
            <w:tcW w:w="1802" w:type="dxa"/>
            <w:noWrap w:val="0"/>
            <w:vAlign w:val="center"/>
          </w:tcPr>
          <w:p w14:paraId="32412E62">
            <w:pPr>
              <w:tabs>
                <w:tab w:val="left" w:pos="1337"/>
              </w:tabs>
              <w:spacing w:line="360" w:lineRule="auto"/>
              <w:jc w:val="center"/>
              <w:rPr>
                <w:rFonts w:ascii="宋体" w:hAnsi="宋体"/>
                <w:sz w:val="24"/>
                <w:highlight w:val="none"/>
              </w:rPr>
            </w:pPr>
          </w:p>
        </w:tc>
        <w:tc>
          <w:tcPr>
            <w:tcW w:w="1956" w:type="dxa"/>
            <w:noWrap w:val="0"/>
            <w:vAlign w:val="center"/>
          </w:tcPr>
          <w:p w14:paraId="0A12909F">
            <w:pPr>
              <w:tabs>
                <w:tab w:val="left" w:pos="1337"/>
              </w:tabs>
              <w:spacing w:line="360" w:lineRule="auto"/>
              <w:jc w:val="center"/>
              <w:rPr>
                <w:rFonts w:ascii="宋体" w:hAnsi="宋体"/>
                <w:sz w:val="24"/>
                <w:highlight w:val="none"/>
              </w:rPr>
            </w:pPr>
          </w:p>
        </w:tc>
        <w:tc>
          <w:tcPr>
            <w:tcW w:w="1954" w:type="dxa"/>
            <w:noWrap w:val="0"/>
            <w:vAlign w:val="center"/>
          </w:tcPr>
          <w:p w14:paraId="0249C6D6">
            <w:pPr>
              <w:tabs>
                <w:tab w:val="left" w:pos="1337"/>
              </w:tabs>
              <w:spacing w:line="360" w:lineRule="auto"/>
              <w:jc w:val="center"/>
              <w:rPr>
                <w:rFonts w:ascii="宋体" w:hAnsi="宋体"/>
                <w:sz w:val="24"/>
                <w:highlight w:val="none"/>
              </w:rPr>
            </w:pPr>
          </w:p>
        </w:tc>
        <w:tc>
          <w:tcPr>
            <w:tcW w:w="1794" w:type="dxa"/>
            <w:noWrap w:val="0"/>
            <w:vAlign w:val="center"/>
          </w:tcPr>
          <w:p w14:paraId="28AE5492">
            <w:pPr>
              <w:tabs>
                <w:tab w:val="left" w:pos="1337"/>
              </w:tabs>
              <w:spacing w:line="360" w:lineRule="auto"/>
              <w:jc w:val="center"/>
              <w:rPr>
                <w:rFonts w:ascii="宋体" w:hAnsi="宋体"/>
                <w:sz w:val="24"/>
                <w:highlight w:val="none"/>
              </w:rPr>
            </w:pPr>
          </w:p>
        </w:tc>
      </w:tr>
      <w:tr w14:paraId="06B1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152" w:type="dxa"/>
            <w:noWrap w:val="0"/>
            <w:vAlign w:val="center"/>
          </w:tcPr>
          <w:p w14:paraId="78BFC152">
            <w:pPr>
              <w:tabs>
                <w:tab w:val="left" w:pos="1337"/>
              </w:tabs>
              <w:spacing w:line="360" w:lineRule="auto"/>
              <w:jc w:val="center"/>
              <w:rPr>
                <w:rFonts w:ascii="宋体" w:hAnsi="宋体"/>
                <w:sz w:val="24"/>
                <w:highlight w:val="none"/>
              </w:rPr>
            </w:pPr>
          </w:p>
        </w:tc>
        <w:tc>
          <w:tcPr>
            <w:tcW w:w="1802" w:type="dxa"/>
            <w:noWrap w:val="0"/>
            <w:vAlign w:val="center"/>
          </w:tcPr>
          <w:p w14:paraId="13304351">
            <w:pPr>
              <w:tabs>
                <w:tab w:val="left" w:pos="1337"/>
              </w:tabs>
              <w:spacing w:line="360" w:lineRule="auto"/>
              <w:jc w:val="center"/>
              <w:rPr>
                <w:rFonts w:ascii="宋体" w:hAnsi="宋体"/>
                <w:sz w:val="24"/>
                <w:highlight w:val="none"/>
              </w:rPr>
            </w:pPr>
          </w:p>
        </w:tc>
        <w:tc>
          <w:tcPr>
            <w:tcW w:w="1956" w:type="dxa"/>
            <w:noWrap w:val="0"/>
            <w:vAlign w:val="center"/>
          </w:tcPr>
          <w:p w14:paraId="312C5248">
            <w:pPr>
              <w:tabs>
                <w:tab w:val="left" w:pos="1337"/>
              </w:tabs>
              <w:spacing w:line="360" w:lineRule="auto"/>
              <w:jc w:val="center"/>
              <w:rPr>
                <w:rFonts w:ascii="宋体" w:hAnsi="宋体"/>
                <w:sz w:val="24"/>
                <w:highlight w:val="none"/>
              </w:rPr>
            </w:pPr>
          </w:p>
        </w:tc>
        <w:tc>
          <w:tcPr>
            <w:tcW w:w="1954" w:type="dxa"/>
            <w:noWrap w:val="0"/>
            <w:vAlign w:val="center"/>
          </w:tcPr>
          <w:p w14:paraId="3E63680E">
            <w:pPr>
              <w:tabs>
                <w:tab w:val="left" w:pos="1337"/>
              </w:tabs>
              <w:spacing w:line="360" w:lineRule="auto"/>
              <w:jc w:val="center"/>
              <w:rPr>
                <w:rFonts w:ascii="宋体" w:hAnsi="宋体"/>
                <w:sz w:val="24"/>
                <w:highlight w:val="none"/>
              </w:rPr>
            </w:pPr>
          </w:p>
        </w:tc>
        <w:tc>
          <w:tcPr>
            <w:tcW w:w="1794" w:type="dxa"/>
            <w:noWrap w:val="0"/>
            <w:vAlign w:val="center"/>
          </w:tcPr>
          <w:p w14:paraId="4010417F">
            <w:pPr>
              <w:tabs>
                <w:tab w:val="left" w:pos="1337"/>
              </w:tabs>
              <w:spacing w:line="360" w:lineRule="auto"/>
              <w:jc w:val="center"/>
              <w:rPr>
                <w:rFonts w:ascii="宋体" w:hAnsi="宋体"/>
                <w:sz w:val="24"/>
                <w:highlight w:val="none"/>
              </w:rPr>
            </w:pPr>
          </w:p>
        </w:tc>
      </w:tr>
    </w:tbl>
    <w:p w14:paraId="2E641BA6">
      <w:pPr>
        <w:spacing w:line="360" w:lineRule="auto"/>
        <w:ind w:firstLine="480" w:firstLineChars="200"/>
        <w:rPr>
          <w:rFonts w:ascii="宋体" w:hAnsi="宋体"/>
          <w:sz w:val="24"/>
          <w:highlight w:val="none"/>
        </w:rPr>
      </w:pPr>
      <w:r>
        <w:rPr>
          <w:rFonts w:hint="eastAsia" w:ascii="宋体" w:hAnsi="宋体"/>
          <w:sz w:val="24"/>
          <w:highlight w:val="none"/>
        </w:rPr>
        <w:t>说明：供应商请按招标文件第四章的要求逐一填写，供应商不得自行增减或删除、修改任何指标，也不能直接复制粘贴招标文件中的要求，必须填写真实数据，否则评标委员会将作出不利于供应商的认定。</w:t>
      </w:r>
    </w:p>
    <w:p w14:paraId="44CBF63D">
      <w:pPr>
        <w:spacing w:line="360" w:lineRule="auto"/>
        <w:ind w:right="187"/>
        <w:rPr>
          <w:rFonts w:ascii="宋体" w:hAnsi="宋体"/>
          <w:bCs/>
          <w:sz w:val="24"/>
          <w:highlight w:val="none"/>
          <w:u w:val="single"/>
        </w:rPr>
      </w:pPr>
    </w:p>
    <w:p w14:paraId="4854AF30">
      <w:pPr>
        <w:spacing w:line="360" w:lineRule="auto"/>
        <w:ind w:right="187"/>
        <w:rPr>
          <w:rFonts w:ascii="宋体" w:hAnsi="宋体"/>
          <w:bCs/>
          <w:sz w:val="24"/>
          <w:highlight w:val="none"/>
          <w:u w:val="single"/>
        </w:rPr>
      </w:pPr>
      <w:r>
        <w:rPr>
          <w:rFonts w:hint="eastAsia" w:ascii="宋体" w:hAnsi="宋体"/>
          <w:sz w:val="24"/>
          <w:highlight w:val="none"/>
        </w:rPr>
        <w:t>供应商单位全称</w:t>
      </w:r>
      <w:r>
        <w:rPr>
          <w:rFonts w:hint="eastAsia" w:ascii="宋体" w:hAnsi="宋体"/>
          <w:bCs/>
          <w:sz w:val="24"/>
          <w:highlight w:val="none"/>
        </w:rPr>
        <w:t>（公章）：</w:t>
      </w:r>
      <w:r>
        <w:rPr>
          <w:rFonts w:ascii="宋体" w:hAnsi="宋体"/>
          <w:bCs/>
          <w:sz w:val="24"/>
          <w:highlight w:val="none"/>
          <w:u w:val="single"/>
        </w:rPr>
        <w:t xml:space="preserve">               </w:t>
      </w:r>
    </w:p>
    <w:p w14:paraId="3E53DBC6">
      <w:pPr>
        <w:spacing w:line="360" w:lineRule="auto"/>
        <w:ind w:right="187"/>
        <w:rPr>
          <w:rFonts w:ascii="宋体" w:hAnsi="宋体"/>
          <w:bCs/>
          <w:sz w:val="24"/>
          <w:highlight w:val="none"/>
          <w:u w:val="single"/>
        </w:rPr>
      </w:pPr>
    </w:p>
    <w:p w14:paraId="47F41CB0">
      <w:pPr>
        <w:spacing w:line="360" w:lineRule="auto"/>
        <w:ind w:right="187"/>
        <w:rPr>
          <w:rFonts w:ascii="宋体" w:hAnsi="宋体"/>
          <w:b/>
          <w:bCs/>
          <w:sz w:val="24"/>
          <w:highlight w:val="none"/>
        </w:rPr>
      </w:pPr>
      <w:r>
        <w:rPr>
          <w:rFonts w:hint="eastAsia" w:ascii="宋体" w:hAnsi="宋体"/>
          <w:bCs/>
          <w:sz w:val="24"/>
          <w:highlight w:val="none"/>
        </w:rPr>
        <w:t>法定代表人或授权代理人签字或盖章：</w:t>
      </w:r>
      <w:r>
        <w:rPr>
          <w:rFonts w:ascii="宋体" w:hAnsi="宋体"/>
          <w:bCs/>
          <w:sz w:val="24"/>
          <w:highlight w:val="none"/>
          <w:u w:val="single"/>
        </w:rPr>
        <w:t xml:space="preserve">     </w:t>
      </w:r>
      <w:r>
        <w:rPr>
          <w:rFonts w:ascii="宋体" w:hAnsi="宋体"/>
          <w:bCs/>
          <w:sz w:val="24"/>
          <w:highlight w:val="none"/>
        </w:rPr>
        <w:t xml:space="preserve">     </w:t>
      </w:r>
    </w:p>
    <w:p w14:paraId="79BC5F75">
      <w:pPr>
        <w:pStyle w:val="31"/>
        <w:spacing w:line="360" w:lineRule="auto"/>
        <w:ind w:left="0" w:leftChars="0" w:firstLine="0" w:firstLineChars="0"/>
        <w:jc w:val="right"/>
        <w:rPr>
          <w:rFonts w:ascii="宋体" w:hAnsi="宋体"/>
          <w:b/>
          <w:sz w:val="20"/>
          <w:highlight w:val="none"/>
        </w:rPr>
      </w:pPr>
      <w:r>
        <w:rPr>
          <w:rFonts w:hint="eastAsia" w:ascii="宋体" w:hAnsi="宋体"/>
          <w:highlight w:val="none"/>
        </w:rPr>
        <w:t>年</w:t>
      </w:r>
      <w:r>
        <w:rPr>
          <w:rFonts w:ascii="宋体" w:hAnsi="宋体"/>
          <w:highlight w:val="none"/>
        </w:rPr>
        <w:t xml:space="preserve">  </w:t>
      </w:r>
      <w:r>
        <w:rPr>
          <w:rFonts w:hint="eastAsia" w:ascii="宋体" w:hAnsi="宋体"/>
          <w:highlight w:val="none"/>
        </w:rPr>
        <w:t>月</w:t>
      </w:r>
      <w:r>
        <w:rPr>
          <w:rFonts w:ascii="宋体" w:hAnsi="宋体"/>
          <w:highlight w:val="none"/>
        </w:rPr>
        <w:t xml:space="preserve">  </w:t>
      </w:r>
      <w:r>
        <w:rPr>
          <w:rFonts w:hint="eastAsia" w:ascii="宋体" w:hAnsi="宋体"/>
          <w:highlight w:val="none"/>
        </w:rPr>
        <w:t>日</w:t>
      </w:r>
      <w:r>
        <w:rPr>
          <w:rFonts w:ascii="宋体" w:hAnsi="宋体"/>
          <w:b/>
          <w:highlight w:val="none"/>
        </w:rPr>
        <w:br w:type="page"/>
      </w:r>
    </w:p>
    <w:p w14:paraId="2D74FB3A">
      <w:pPr>
        <w:pStyle w:val="4"/>
        <w:spacing w:before="120" w:after="120" w:line="360" w:lineRule="auto"/>
        <w:rPr>
          <w:rFonts w:ascii="宋体" w:hAnsi="宋体"/>
          <w:b w:val="0"/>
          <w:bCs/>
          <w:sz w:val="24"/>
          <w:szCs w:val="21"/>
          <w:highlight w:val="none"/>
        </w:rPr>
      </w:pPr>
      <w:bookmarkStart w:id="133" w:name="_Toc29255"/>
      <w:r>
        <w:rPr>
          <w:rFonts w:hint="eastAsia" w:ascii="宋体" w:hAnsi="宋体"/>
          <w:b w:val="0"/>
          <w:sz w:val="24"/>
          <w:szCs w:val="21"/>
          <w:highlight w:val="none"/>
        </w:rPr>
        <w:t>附件七：项目拟投入人员情况一览表</w:t>
      </w:r>
      <w:bookmarkEnd w:id="133"/>
    </w:p>
    <w:p w14:paraId="755CDBC1">
      <w:pPr>
        <w:spacing w:line="360" w:lineRule="auto"/>
        <w:jc w:val="center"/>
        <w:rPr>
          <w:rFonts w:ascii="宋体" w:hAnsi="宋体"/>
          <w:b/>
          <w:sz w:val="24"/>
          <w:highlight w:val="none"/>
        </w:rPr>
      </w:pPr>
    </w:p>
    <w:p w14:paraId="49938B25">
      <w:pPr>
        <w:spacing w:line="360" w:lineRule="auto"/>
        <w:jc w:val="center"/>
        <w:rPr>
          <w:rFonts w:hint="eastAsia" w:ascii="宋体" w:hAnsi="宋体"/>
          <w:b/>
          <w:kern w:val="0"/>
          <w:sz w:val="32"/>
          <w:szCs w:val="20"/>
          <w:highlight w:val="none"/>
        </w:rPr>
      </w:pPr>
      <w:r>
        <w:rPr>
          <w:rFonts w:hint="eastAsia" w:ascii="宋体" w:hAnsi="宋体"/>
          <w:b/>
          <w:kern w:val="0"/>
          <w:sz w:val="32"/>
          <w:szCs w:val="20"/>
          <w:highlight w:val="none"/>
        </w:rPr>
        <w:t>项目拟投入人员情况一览表</w:t>
      </w:r>
    </w:p>
    <w:p w14:paraId="42FF0BD2">
      <w:pPr>
        <w:pStyle w:val="31"/>
        <w:spacing w:line="360" w:lineRule="auto"/>
        <w:ind w:left="0" w:leftChars="0" w:firstLine="0" w:firstLineChars="0"/>
        <w:rPr>
          <w:rFonts w:hint="eastAsia" w:ascii="宋体" w:hAnsi="宋体"/>
          <w:bCs/>
          <w:highlight w:val="none"/>
          <w:u w:val="single"/>
        </w:rPr>
      </w:pPr>
      <w:r>
        <w:rPr>
          <w:rFonts w:hint="eastAsia" w:ascii="宋体" w:hAnsi="宋体"/>
          <w:bCs/>
          <w:highlight w:val="none"/>
        </w:rPr>
        <w:t>项目编号</w:t>
      </w:r>
      <w:r>
        <w:rPr>
          <w:rFonts w:hint="eastAsia" w:ascii="宋体" w:hAnsi="宋体"/>
          <w:b/>
          <w:bCs/>
          <w:highlight w:val="none"/>
        </w:rPr>
        <w:t>：</w:t>
      </w:r>
      <w:r>
        <w:rPr>
          <w:rFonts w:hint="eastAsia" w:ascii="宋体" w:hAnsi="宋体"/>
          <w:highlight w:val="none"/>
        </w:rPr>
        <w:t xml:space="preserve"> _______________________</w:t>
      </w:r>
      <w:r>
        <w:rPr>
          <w:rFonts w:hint="eastAsia" w:ascii="宋体" w:hAnsi="宋体"/>
          <w:bCs/>
          <w:highlight w:val="none"/>
          <w:u w:val="single"/>
        </w:rPr>
        <w:t xml:space="preserve"> </w:t>
      </w:r>
    </w:p>
    <w:p w14:paraId="18B1561C">
      <w:pPr>
        <w:pStyle w:val="30"/>
        <w:rPr>
          <w:highlight w:val="none"/>
        </w:rPr>
      </w:pPr>
      <w:r>
        <w:rPr>
          <w:rFonts w:hint="eastAsia" w:ascii="宋体" w:hAnsi="宋体"/>
          <w:bCs/>
          <w:highlight w:val="none"/>
        </w:rPr>
        <w:t>项目名称</w:t>
      </w:r>
      <w:r>
        <w:rPr>
          <w:rFonts w:hint="eastAsia" w:ascii="宋体" w:hAnsi="宋体"/>
          <w:b/>
          <w:bCs/>
          <w:highlight w:val="none"/>
        </w:rPr>
        <w:t>：</w:t>
      </w:r>
      <w:r>
        <w:rPr>
          <w:rFonts w:hint="eastAsia" w:ascii="宋体" w:hAnsi="宋体"/>
          <w:highlight w:val="none"/>
        </w:rPr>
        <w:t>_______________________</w:t>
      </w:r>
      <w:r>
        <w:rPr>
          <w:rFonts w:hint="eastAsia" w:ascii="宋体" w:hAnsi="宋体"/>
          <w:bCs/>
          <w:highlight w:val="none"/>
          <w:u w:val="single"/>
        </w:rPr>
        <w:t xml:space="preserve"> </w:t>
      </w:r>
      <w:r>
        <w:rPr>
          <w:rFonts w:hint="eastAsia" w:ascii="宋体" w:hAnsi="宋体"/>
          <w:bCs/>
          <w:highlight w:val="none"/>
        </w:rPr>
        <w:t xml:space="preserve">  </w:t>
      </w:r>
      <w:r>
        <w:rPr>
          <w:rFonts w:hint="eastAsia" w:ascii="宋体" w:hAnsi="宋体"/>
          <w:highlight w:val="none"/>
          <w:lang w:val="en-US" w:eastAsia="zh-CN"/>
        </w:rPr>
        <w:t>包号：</w:t>
      </w:r>
      <w:r>
        <w:rPr>
          <w:rFonts w:hint="eastAsia" w:ascii="宋体" w:hAnsi="宋体"/>
          <w:highlight w:val="none"/>
        </w:rPr>
        <w:t>___________</w:t>
      </w:r>
      <w:r>
        <w:rPr>
          <w:rFonts w:hint="eastAsia" w:ascii="宋体" w:hAnsi="宋体"/>
          <w:highlight w:val="none"/>
          <w:lang w:val="en-US" w:eastAsia="zh-CN"/>
        </w:rPr>
        <w:t xml:space="preserve"> </w:t>
      </w:r>
      <w:r>
        <w:rPr>
          <w:rFonts w:hint="eastAsia" w:ascii="宋体" w:hAnsi="宋体"/>
          <w:bCs/>
          <w:highlight w:val="none"/>
          <w:u w:val="single"/>
        </w:rPr>
        <w:t xml:space="preserve"> </w:t>
      </w:r>
      <w:r>
        <w:rPr>
          <w:rFonts w:hint="eastAsia" w:ascii="宋体" w:hAnsi="宋体"/>
          <w:bCs/>
          <w:highlight w:val="none"/>
          <w:u w:val="none"/>
        </w:rPr>
        <w:t xml:space="preserve"> </w:t>
      </w:r>
    </w:p>
    <w:tbl>
      <w:tblPr>
        <w:tblStyle w:val="75"/>
        <w:tblW w:w="9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348"/>
        <w:gridCol w:w="1130"/>
        <w:gridCol w:w="786"/>
        <w:gridCol w:w="816"/>
        <w:gridCol w:w="1086"/>
        <w:gridCol w:w="1113"/>
        <w:gridCol w:w="2544"/>
      </w:tblGrid>
      <w:tr w14:paraId="4DAE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14:paraId="4A39C2EE">
            <w:pPr>
              <w:spacing w:line="360" w:lineRule="auto"/>
              <w:rPr>
                <w:rFonts w:ascii="宋体" w:hAnsi="宋体" w:cs="宋体"/>
                <w:highlight w:val="none"/>
              </w:rPr>
            </w:pPr>
            <w:r>
              <w:rPr>
                <w:rFonts w:hint="eastAsia" w:ascii="宋体" w:hAnsi="宋体" w:cs="宋体"/>
                <w:szCs w:val="21"/>
                <w:highlight w:val="none"/>
              </w:rPr>
              <w:t>序号</w:t>
            </w: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B85E36C">
            <w:pPr>
              <w:spacing w:line="360" w:lineRule="auto"/>
              <w:jc w:val="center"/>
              <w:rPr>
                <w:rFonts w:ascii="宋体" w:hAnsi="宋体" w:cs="宋体"/>
                <w:highlight w:val="none"/>
              </w:rPr>
            </w:pPr>
            <w:r>
              <w:rPr>
                <w:rFonts w:hint="eastAsia" w:ascii="宋体" w:hAnsi="宋体" w:cs="宋体"/>
                <w:szCs w:val="21"/>
                <w:highlight w:val="none"/>
              </w:rPr>
              <w:t>本项目中的分工或专业</w:t>
            </w:r>
          </w:p>
        </w:tc>
        <w:tc>
          <w:tcPr>
            <w:tcW w:w="1130" w:type="dxa"/>
            <w:tcBorders>
              <w:top w:val="single" w:color="auto" w:sz="4" w:space="0"/>
              <w:left w:val="single" w:color="auto" w:sz="4" w:space="0"/>
              <w:bottom w:val="single" w:color="auto" w:sz="4" w:space="0"/>
              <w:right w:val="single" w:color="auto" w:sz="4" w:space="0"/>
            </w:tcBorders>
            <w:noWrap w:val="0"/>
            <w:vAlign w:val="center"/>
          </w:tcPr>
          <w:p w14:paraId="35C72C28">
            <w:pPr>
              <w:spacing w:line="360" w:lineRule="auto"/>
              <w:jc w:val="center"/>
              <w:rPr>
                <w:rFonts w:ascii="宋体" w:hAnsi="宋体" w:cs="宋体"/>
                <w:highlight w:val="none"/>
              </w:rPr>
            </w:pPr>
            <w:r>
              <w:rPr>
                <w:rFonts w:hint="eastAsia" w:ascii="宋体" w:hAnsi="宋体" w:cs="宋体"/>
                <w:szCs w:val="21"/>
                <w:highlight w:val="none"/>
              </w:rPr>
              <w:t>姓名</w:t>
            </w:r>
          </w:p>
        </w:tc>
        <w:tc>
          <w:tcPr>
            <w:tcW w:w="786" w:type="dxa"/>
            <w:tcBorders>
              <w:top w:val="single" w:color="auto" w:sz="4" w:space="0"/>
              <w:left w:val="single" w:color="auto" w:sz="4" w:space="0"/>
              <w:bottom w:val="single" w:color="auto" w:sz="4" w:space="0"/>
              <w:right w:val="single" w:color="auto" w:sz="4" w:space="0"/>
            </w:tcBorders>
            <w:noWrap w:val="0"/>
            <w:vAlign w:val="center"/>
          </w:tcPr>
          <w:p w14:paraId="1898E2B3">
            <w:pPr>
              <w:spacing w:line="360" w:lineRule="auto"/>
              <w:jc w:val="center"/>
              <w:rPr>
                <w:rFonts w:ascii="宋体" w:hAnsi="宋体" w:cs="宋体"/>
                <w:highlight w:val="none"/>
              </w:rPr>
            </w:pPr>
            <w:r>
              <w:rPr>
                <w:rFonts w:hint="eastAsia" w:ascii="宋体" w:hAnsi="宋体" w:cs="宋体"/>
                <w:szCs w:val="21"/>
                <w:highlight w:val="none"/>
              </w:rPr>
              <w:t>年龄</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145E870F">
            <w:pPr>
              <w:spacing w:line="360" w:lineRule="auto"/>
              <w:jc w:val="center"/>
              <w:rPr>
                <w:rFonts w:ascii="宋体" w:hAnsi="宋体" w:cs="宋体"/>
                <w:highlight w:val="none"/>
              </w:rPr>
            </w:pPr>
            <w:r>
              <w:rPr>
                <w:rFonts w:hint="eastAsia" w:ascii="宋体" w:hAnsi="宋体" w:cs="宋体"/>
                <w:szCs w:val="21"/>
                <w:highlight w:val="none"/>
              </w:rPr>
              <w:t>学历</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5BC380DA">
            <w:pPr>
              <w:spacing w:line="360" w:lineRule="auto"/>
              <w:jc w:val="center"/>
              <w:rPr>
                <w:rFonts w:ascii="宋体" w:hAnsi="宋体" w:cs="宋体"/>
                <w:highlight w:val="none"/>
              </w:rPr>
            </w:pPr>
            <w:r>
              <w:rPr>
                <w:rFonts w:hint="eastAsia" w:ascii="宋体" w:hAnsi="宋体" w:cs="宋体"/>
                <w:szCs w:val="21"/>
                <w:highlight w:val="none"/>
              </w:rPr>
              <w:t>所学专业</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67DB43DE">
            <w:pPr>
              <w:spacing w:line="360" w:lineRule="auto"/>
              <w:jc w:val="center"/>
              <w:rPr>
                <w:rFonts w:ascii="宋体" w:hAnsi="宋体" w:cs="宋体"/>
                <w:highlight w:val="none"/>
              </w:rPr>
            </w:pPr>
            <w:r>
              <w:rPr>
                <w:rFonts w:hint="eastAsia" w:ascii="宋体" w:hAnsi="宋体" w:cs="宋体"/>
                <w:szCs w:val="21"/>
                <w:highlight w:val="none"/>
              </w:rPr>
              <w:t>职称</w:t>
            </w:r>
          </w:p>
        </w:tc>
        <w:tc>
          <w:tcPr>
            <w:tcW w:w="2544" w:type="dxa"/>
            <w:tcBorders>
              <w:top w:val="single" w:color="auto" w:sz="4" w:space="0"/>
              <w:left w:val="single" w:color="auto" w:sz="4" w:space="0"/>
              <w:bottom w:val="single" w:color="auto" w:sz="4" w:space="0"/>
              <w:right w:val="single" w:color="auto" w:sz="4" w:space="0"/>
            </w:tcBorders>
            <w:noWrap w:val="0"/>
            <w:vAlign w:val="center"/>
          </w:tcPr>
          <w:p w14:paraId="5A4D79AD">
            <w:pPr>
              <w:spacing w:line="360" w:lineRule="auto"/>
              <w:jc w:val="center"/>
              <w:rPr>
                <w:rFonts w:ascii="宋体" w:hAnsi="宋体" w:cs="宋体"/>
                <w:highlight w:val="none"/>
              </w:rPr>
            </w:pPr>
            <w:r>
              <w:rPr>
                <w:rFonts w:hint="eastAsia" w:ascii="宋体" w:hAnsi="宋体" w:cs="宋体"/>
                <w:szCs w:val="21"/>
                <w:highlight w:val="none"/>
              </w:rPr>
              <w:t>执业（职业）资格证书情况（多个证书的，同时列出）</w:t>
            </w:r>
          </w:p>
        </w:tc>
      </w:tr>
      <w:tr w14:paraId="2233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59" w:type="dxa"/>
            <w:tcBorders>
              <w:top w:val="single" w:color="auto" w:sz="4" w:space="0"/>
              <w:left w:val="single" w:color="auto" w:sz="4" w:space="0"/>
              <w:bottom w:val="single" w:color="auto" w:sz="4" w:space="0"/>
              <w:right w:val="single" w:color="auto" w:sz="4" w:space="0"/>
            </w:tcBorders>
            <w:noWrap w:val="0"/>
            <w:vAlign w:val="top"/>
          </w:tcPr>
          <w:p w14:paraId="0E0EED6F">
            <w:pPr>
              <w:spacing w:line="360" w:lineRule="auto"/>
              <w:jc w:val="center"/>
              <w:rPr>
                <w:rFonts w:ascii="宋体" w:hAnsi="宋体" w:cs="宋体"/>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top"/>
          </w:tcPr>
          <w:p w14:paraId="607A43B9">
            <w:pPr>
              <w:spacing w:line="360" w:lineRule="auto"/>
              <w:jc w:val="center"/>
              <w:rPr>
                <w:rFonts w:ascii="宋体" w:hAnsi="宋体" w:cs="宋体"/>
                <w:highlight w:val="none"/>
              </w:rPr>
            </w:pPr>
          </w:p>
        </w:tc>
        <w:tc>
          <w:tcPr>
            <w:tcW w:w="1130" w:type="dxa"/>
            <w:tcBorders>
              <w:top w:val="single" w:color="auto" w:sz="4" w:space="0"/>
              <w:left w:val="single" w:color="auto" w:sz="4" w:space="0"/>
              <w:bottom w:val="single" w:color="auto" w:sz="4" w:space="0"/>
              <w:right w:val="single" w:color="auto" w:sz="4" w:space="0"/>
            </w:tcBorders>
            <w:noWrap w:val="0"/>
            <w:vAlign w:val="top"/>
          </w:tcPr>
          <w:p w14:paraId="5BA1D025">
            <w:pPr>
              <w:spacing w:line="360" w:lineRule="auto"/>
              <w:jc w:val="center"/>
              <w:rPr>
                <w:rFonts w:ascii="宋体" w:hAnsi="宋体" w:cs="宋体"/>
                <w:highlight w:val="none"/>
              </w:rPr>
            </w:pPr>
          </w:p>
        </w:tc>
        <w:tc>
          <w:tcPr>
            <w:tcW w:w="786" w:type="dxa"/>
            <w:tcBorders>
              <w:top w:val="single" w:color="auto" w:sz="4" w:space="0"/>
              <w:left w:val="single" w:color="auto" w:sz="4" w:space="0"/>
              <w:bottom w:val="single" w:color="auto" w:sz="4" w:space="0"/>
              <w:right w:val="single" w:color="auto" w:sz="4" w:space="0"/>
            </w:tcBorders>
            <w:noWrap w:val="0"/>
            <w:vAlign w:val="top"/>
          </w:tcPr>
          <w:p w14:paraId="38C1E2B5">
            <w:pPr>
              <w:spacing w:line="360" w:lineRule="auto"/>
              <w:jc w:val="center"/>
              <w:rPr>
                <w:rFonts w:ascii="宋体" w:hAnsi="宋体" w:cs="宋体"/>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top"/>
          </w:tcPr>
          <w:p w14:paraId="3BFF0D81">
            <w:pPr>
              <w:spacing w:line="360" w:lineRule="auto"/>
              <w:jc w:val="center"/>
              <w:rPr>
                <w:rFonts w:ascii="宋体" w:hAnsi="宋体" w:cs="宋体"/>
                <w:highlight w:val="none"/>
              </w:rPr>
            </w:pPr>
          </w:p>
        </w:tc>
        <w:tc>
          <w:tcPr>
            <w:tcW w:w="1086" w:type="dxa"/>
            <w:tcBorders>
              <w:top w:val="single" w:color="auto" w:sz="4" w:space="0"/>
              <w:left w:val="single" w:color="auto" w:sz="4" w:space="0"/>
              <w:bottom w:val="single" w:color="auto" w:sz="4" w:space="0"/>
              <w:right w:val="single" w:color="auto" w:sz="4" w:space="0"/>
            </w:tcBorders>
            <w:noWrap w:val="0"/>
            <w:vAlign w:val="top"/>
          </w:tcPr>
          <w:p w14:paraId="74C40414">
            <w:pPr>
              <w:spacing w:line="360" w:lineRule="auto"/>
              <w:jc w:val="center"/>
              <w:rPr>
                <w:rFonts w:ascii="宋体" w:hAnsi="宋体" w:cs="宋体"/>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top"/>
          </w:tcPr>
          <w:p w14:paraId="496DF7D8">
            <w:pPr>
              <w:spacing w:line="360" w:lineRule="auto"/>
              <w:jc w:val="center"/>
              <w:rPr>
                <w:rFonts w:ascii="宋体" w:hAnsi="宋体" w:cs="宋体"/>
                <w:highlight w:val="none"/>
              </w:rPr>
            </w:pPr>
          </w:p>
        </w:tc>
        <w:tc>
          <w:tcPr>
            <w:tcW w:w="2544" w:type="dxa"/>
            <w:tcBorders>
              <w:top w:val="single" w:color="auto" w:sz="4" w:space="0"/>
              <w:left w:val="single" w:color="auto" w:sz="4" w:space="0"/>
              <w:bottom w:val="single" w:color="auto" w:sz="4" w:space="0"/>
              <w:right w:val="single" w:color="auto" w:sz="4" w:space="0"/>
            </w:tcBorders>
            <w:noWrap w:val="0"/>
            <w:vAlign w:val="top"/>
          </w:tcPr>
          <w:p w14:paraId="3094A23B">
            <w:pPr>
              <w:spacing w:line="360" w:lineRule="auto"/>
              <w:jc w:val="center"/>
              <w:rPr>
                <w:rFonts w:ascii="宋体" w:hAnsi="宋体" w:cs="宋体"/>
                <w:highlight w:val="none"/>
              </w:rPr>
            </w:pPr>
          </w:p>
        </w:tc>
      </w:tr>
      <w:tr w14:paraId="51AC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59" w:type="dxa"/>
            <w:tcBorders>
              <w:top w:val="single" w:color="auto" w:sz="4" w:space="0"/>
              <w:left w:val="single" w:color="auto" w:sz="4" w:space="0"/>
              <w:bottom w:val="single" w:color="auto" w:sz="4" w:space="0"/>
              <w:right w:val="single" w:color="auto" w:sz="4" w:space="0"/>
            </w:tcBorders>
            <w:noWrap w:val="0"/>
            <w:vAlign w:val="top"/>
          </w:tcPr>
          <w:p w14:paraId="737D1BD9">
            <w:pPr>
              <w:spacing w:line="360" w:lineRule="auto"/>
              <w:jc w:val="center"/>
              <w:rPr>
                <w:rFonts w:ascii="宋体" w:hAnsi="宋体" w:cs="宋体"/>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top"/>
          </w:tcPr>
          <w:p w14:paraId="12CE5D53">
            <w:pPr>
              <w:spacing w:line="360" w:lineRule="auto"/>
              <w:jc w:val="center"/>
              <w:rPr>
                <w:rFonts w:ascii="宋体" w:hAnsi="宋体" w:cs="宋体"/>
                <w:highlight w:val="none"/>
              </w:rPr>
            </w:pPr>
          </w:p>
        </w:tc>
        <w:tc>
          <w:tcPr>
            <w:tcW w:w="1130" w:type="dxa"/>
            <w:tcBorders>
              <w:top w:val="single" w:color="auto" w:sz="4" w:space="0"/>
              <w:left w:val="single" w:color="auto" w:sz="4" w:space="0"/>
              <w:bottom w:val="single" w:color="auto" w:sz="4" w:space="0"/>
              <w:right w:val="single" w:color="auto" w:sz="4" w:space="0"/>
            </w:tcBorders>
            <w:noWrap w:val="0"/>
            <w:vAlign w:val="top"/>
          </w:tcPr>
          <w:p w14:paraId="0D215A97">
            <w:pPr>
              <w:spacing w:line="360" w:lineRule="auto"/>
              <w:jc w:val="center"/>
              <w:rPr>
                <w:rFonts w:ascii="宋体" w:hAnsi="宋体" w:cs="宋体"/>
                <w:highlight w:val="none"/>
              </w:rPr>
            </w:pPr>
          </w:p>
        </w:tc>
        <w:tc>
          <w:tcPr>
            <w:tcW w:w="786" w:type="dxa"/>
            <w:tcBorders>
              <w:top w:val="single" w:color="auto" w:sz="4" w:space="0"/>
              <w:left w:val="single" w:color="auto" w:sz="4" w:space="0"/>
              <w:bottom w:val="single" w:color="auto" w:sz="4" w:space="0"/>
              <w:right w:val="single" w:color="auto" w:sz="4" w:space="0"/>
            </w:tcBorders>
            <w:noWrap w:val="0"/>
            <w:vAlign w:val="top"/>
          </w:tcPr>
          <w:p w14:paraId="0F2863DE">
            <w:pPr>
              <w:spacing w:line="360" w:lineRule="auto"/>
              <w:jc w:val="center"/>
              <w:rPr>
                <w:rFonts w:ascii="宋体" w:hAnsi="宋体" w:cs="宋体"/>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top"/>
          </w:tcPr>
          <w:p w14:paraId="0B42175B">
            <w:pPr>
              <w:spacing w:line="360" w:lineRule="auto"/>
              <w:jc w:val="center"/>
              <w:rPr>
                <w:rFonts w:ascii="宋体" w:hAnsi="宋体" w:cs="宋体"/>
                <w:highlight w:val="none"/>
              </w:rPr>
            </w:pPr>
          </w:p>
        </w:tc>
        <w:tc>
          <w:tcPr>
            <w:tcW w:w="1086" w:type="dxa"/>
            <w:tcBorders>
              <w:top w:val="single" w:color="auto" w:sz="4" w:space="0"/>
              <w:left w:val="single" w:color="auto" w:sz="4" w:space="0"/>
              <w:bottom w:val="single" w:color="auto" w:sz="4" w:space="0"/>
              <w:right w:val="single" w:color="auto" w:sz="4" w:space="0"/>
            </w:tcBorders>
            <w:noWrap w:val="0"/>
            <w:vAlign w:val="top"/>
          </w:tcPr>
          <w:p w14:paraId="4D8D5906">
            <w:pPr>
              <w:spacing w:line="360" w:lineRule="auto"/>
              <w:jc w:val="center"/>
              <w:rPr>
                <w:rFonts w:ascii="宋体" w:hAnsi="宋体" w:cs="宋体"/>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top"/>
          </w:tcPr>
          <w:p w14:paraId="39A46770">
            <w:pPr>
              <w:spacing w:line="360" w:lineRule="auto"/>
              <w:jc w:val="center"/>
              <w:rPr>
                <w:rFonts w:ascii="宋体" w:hAnsi="宋体" w:cs="宋体"/>
                <w:highlight w:val="none"/>
              </w:rPr>
            </w:pPr>
          </w:p>
        </w:tc>
        <w:tc>
          <w:tcPr>
            <w:tcW w:w="2544" w:type="dxa"/>
            <w:tcBorders>
              <w:top w:val="single" w:color="auto" w:sz="4" w:space="0"/>
              <w:left w:val="single" w:color="auto" w:sz="4" w:space="0"/>
              <w:bottom w:val="single" w:color="auto" w:sz="4" w:space="0"/>
              <w:right w:val="single" w:color="auto" w:sz="4" w:space="0"/>
            </w:tcBorders>
            <w:noWrap w:val="0"/>
            <w:vAlign w:val="top"/>
          </w:tcPr>
          <w:p w14:paraId="4E74B7E0">
            <w:pPr>
              <w:spacing w:line="360" w:lineRule="auto"/>
              <w:jc w:val="center"/>
              <w:rPr>
                <w:rFonts w:ascii="宋体" w:hAnsi="宋体" w:cs="宋体"/>
                <w:highlight w:val="none"/>
              </w:rPr>
            </w:pPr>
          </w:p>
        </w:tc>
      </w:tr>
      <w:tr w14:paraId="4F26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59" w:type="dxa"/>
            <w:tcBorders>
              <w:top w:val="single" w:color="auto" w:sz="4" w:space="0"/>
              <w:left w:val="single" w:color="auto" w:sz="4" w:space="0"/>
              <w:bottom w:val="single" w:color="auto" w:sz="4" w:space="0"/>
              <w:right w:val="single" w:color="auto" w:sz="4" w:space="0"/>
            </w:tcBorders>
            <w:noWrap w:val="0"/>
            <w:vAlign w:val="top"/>
          </w:tcPr>
          <w:p w14:paraId="4C5FBD8F">
            <w:pPr>
              <w:spacing w:line="360" w:lineRule="auto"/>
              <w:jc w:val="center"/>
              <w:rPr>
                <w:rFonts w:ascii="宋体" w:hAnsi="宋体" w:cs="宋体"/>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top"/>
          </w:tcPr>
          <w:p w14:paraId="0DB1CD77">
            <w:pPr>
              <w:spacing w:line="360" w:lineRule="auto"/>
              <w:jc w:val="center"/>
              <w:rPr>
                <w:rFonts w:ascii="宋体" w:hAnsi="宋体" w:cs="宋体"/>
                <w:highlight w:val="none"/>
              </w:rPr>
            </w:pPr>
          </w:p>
        </w:tc>
        <w:tc>
          <w:tcPr>
            <w:tcW w:w="1130" w:type="dxa"/>
            <w:tcBorders>
              <w:top w:val="single" w:color="auto" w:sz="4" w:space="0"/>
              <w:left w:val="single" w:color="auto" w:sz="4" w:space="0"/>
              <w:bottom w:val="single" w:color="auto" w:sz="4" w:space="0"/>
              <w:right w:val="single" w:color="auto" w:sz="4" w:space="0"/>
            </w:tcBorders>
            <w:noWrap w:val="0"/>
            <w:vAlign w:val="top"/>
          </w:tcPr>
          <w:p w14:paraId="78C978C7">
            <w:pPr>
              <w:spacing w:line="360" w:lineRule="auto"/>
              <w:jc w:val="center"/>
              <w:rPr>
                <w:rFonts w:ascii="宋体" w:hAnsi="宋体" w:cs="宋体"/>
                <w:highlight w:val="none"/>
              </w:rPr>
            </w:pPr>
          </w:p>
        </w:tc>
        <w:tc>
          <w:tcPr>
            <w:tcW w:w="786" w:type="dxa"/>
            <w:tcBorders>
              <w:top w:val="single" w:color="auto" w:sz="4" w:space="0"/>
              <w:left w:val="single" w:color="auto" w:sz="4" w:space="0"/>
              <w:bottom w:val="single" w:color="auto" w:sz="4" w:space="0"/>
              <w:right w:val="single" w:color="auto" w:sz="4" w:space="0"/>
            </w:tcBorders>
            <w:noWrap w:val="0"/>
            <w:vAlign w:val="top"/>
          </w:tcPr>
          <w:p w14:paraId="5444A5FB">
            <w:pPr>
              <w:spacing w:line="360" w:lineRule="auto"/>
              <w:jc w:val="center"/>
              <w:rPr>
                <w:rFonts w:ascii="宋体" w:hAnsi="宋体" w:cs="宋体"/>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top"/>
          </w:tcPr>
          <w:p w14:paraId="3FAAD215">
            <w:pPr>
              <w:spacing w:line="360" w:lineRule="auto"/>
              <w:jc w:val="center"/>
              <w:rPr>
                <w:rFonts w:ascii="宋体" w:hAnsi="宋体" w:cs="宋体"/>
                <w:highlight w:val="none"/>
              </w:rPr>
            </w:pPr>
          </w:p>
        </w:tc>
        <w:tc>
          <w:tcPr>
            <w:tcW w:w="1086" w:type="dxa"/>
            <w:tcBorders>
              <w:top w:val="single" w:color="auto" w:sz="4" w:space="0"/>
              <w:left w:val="single" w:color="auto" w:sz="4" w:space="0"/>
              <w:bottom w:val="single" w:color="auto" w:sz="4" w:space="0"/>
              <w:right w:val="single" w:color="auto" w:sz="4" w:space="0"/>
            </w:tcBorders>
            <w:noWrap w:val="0"/>
            <w:vAlign w:val="top"/>
          </w:tcPr>
          <w:p w14:paraId="06251E1C">
            <w:pPr>
              <w:spacing w:line="360" w:lineRule="auto"/>
              <w:jc w:val="center"/>
              <w:rPr>
                <w:rFonts w:ascii="宋体" w:hAnsi="宋体" w:cs="宋体"/>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top"/>
          </w:tcPr>
          <w:p w14:paraId="6B3534B5">
            <w:pPr>
              <w:spacing w:line="360" w:lineRule="auto"/>
              <w:jc w:val="center"/>
              <w:rPr>
                <w:rFonts w:ascii="宋体" w:hAnsi="宋体" w:cs="宋体"/>
                <w:highlight w:val="none"/>
              </w:rPr>
            </w:pPr>
          </w:p>
        </w:tc>
        <w:tc>
          <w:tcPr>
            <w:tcW w:w="2544" w:type="dxa"/>
            <w:tcBorders>
              <w:top w:val="single" w:color="auto" w:sz="4" w:space="0"/>
              <w:left w:val="single" w:color="auto" w:sz="4" w:space="0"/>
              <w:bottom w:val="single" w:color="auto" w:sz="4" w:space="0"/>
              <w:right w:val="single" w:color="auto" w:sz="4" w:space="0"/>
            </w:tcBorders>
            <w:noWrap w:val="0"/>
            <w:vAlign w:val="top"/>
          </w:tcPr>
          <w:p w14:paraId="4B201B33">
            <w:pPr>
              <w:spacing w:line="360" w:lineRule="auto"/>
              <w:jc w:val="center"/>
              <w:rPr>
                <w:rFonts w:ascii="宋体" w:hAnsi="宋体" w:cs="宋体"/>
                <w:highlight w:val="none"/>
              </w:rPr>
            </w:pPr>
          </w:p>
        </w:tc>
      </w:tr>
      <w:tr w14:paraId="25F9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59" w:type="dxa"/>
            <w:tcBorders>
              <w:top w:val="single" w:color="auto" w:sz="4" w:space="0"/>
              <w:left w:val="single" w:color="auto" w:sz="4" w:space="0"/>
              <w:bottom w:val="single" w:color="auto" w:sz="4" w:space="0"/>
              <w:right w:val="single" w:color="auto" w:sz="4" w:space="0"/>
            </w:tcBorders>
            <w:noWrap w:val="0"/>
            <w:vAlign w:val="top"/>
          </w:tcPr>
          <w:p w14:paraId="033EBCB1">
            <w:pPr>
              <w:spacing w:line="360" w:lineRule="auto"/>
              <w:jc w:val="center"/>
              <w:rPr>
                <w:rFonts w:ascii="宋体" w:hAnsi="宋体" w:cs="宋体"/>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top"/>
          </w:tcPr>
          <w:p w14:paraId="6B89D247">
            <w:pPr>
              <w:spacing w:line="360" w:lineRule="auto"/>
              <w:jc w:val="center"/>
              <w:rPr>
                <w:rFonts w:ascii="宋体" w:hAnsi="宋体" w:cs="宋体"/>
                <w:highlight w:val="none"/>
              </w:rPr>
            </w:pPr>
          </w:p>
        </w:tc>
        <w:tc>
          <w:tcPr>
            <w:tcW w:w="1130" w:type="dxa"/>
            <w:tcBorders>
              <w:top w:val="single" w:color="auto" w:sz="4" w:space="0"/>
              <w:left w:val="single" w:color="auto" w:sz="4" w:space="0"/>
              <w:bottom w:val="single" w:color="auto" w:sz="4" w:space="0"/>
              <w:right w:val="single" w:color="auto" w:sz="4" w:space="0"/>
            </w:tcBorders>
            <w:noWrap w:val="0"/>
            <w:vAlign w:val="top"/>
          </w:tcPr>
          <w:p w14:paraId="4945DBB9">
            <w:pPr>
              <w:spacing w:line="360" w:lineRule="auto"/>
              <w:jc w:val="center"/>
              <w:rPr>
                <w:rFonts w:ascii="宋体" w:hAnsi="宋体" w:cs="宋体"/>
                <w:highlight w:val="none"/>
              </w:rPr>
            </w:pPr>
          </w:p>
        </w:tc>
        <w:tc>
          <w:tcPr>
            <w:tcW w:w="786" w:type="dxa"/>
            <w:tcBorders>
              <w:top w:val="single" w:color="auto" w:sz="4" w:space="0"/>
              <w:left w:val="single" w:color="auto" w:sz="4" w:space="0"/>
              <w:bottom w:val="single" w:color="auto" w:sz="4" w:space="0"/>
              <w:right w:val="single" w:color="auto" w:sz="4" w:space="0"/>
            </w:tcBorders>
            <w:noWrap w:val="0"/>
            <w:vAlign w:val="top"/>
          </w:tcPr>
          <w:p w14:paraId="432EB3BE">
            <w:pPr>
              <w:spacing w:line="360" w:lineRule="auto"/>
              <w:jc w:val="center"/>
              <w:rPr>
                <w:rFonts w:ascii="宋体" w:hAnsi="宋体" w:cs="宋体"/>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top"/>
          </w:tcPr>
          <w:p w14:paraId="39C3BE16">
            <w:pPr>
              <w:spacing w:line="360" w:lineRule="auto"/>
              <w:jc w:val="center"/>
              <w:rPr>
                <w:rFonts w:ascii="宋体" w:hAnsi="宋体" w:cs="宋体"/>
                <w:highlight w:val="none"/>
              </w:rPr>
            </w:pPr>
          </w:p>
        </w:tc>
        <w:tc>
          <w:tcPr>
            <w:tcW w:w="1086" w:type="dxa"/>
            <w:tcBorders>
              <w:top w:val="single" w:color="auto" w:sz="4" w:space="0"/>
              <w:left w:val="single" w:color="auto" w:sz="4" w:space="0"/>
              <w:bottom w:val="single" w:color="auto" w:sz="4" w:space="0"/>
              <w:right w:val="single" w:color="auto" w:sz="4" w:space="0"/>
            </w:tcBorders>
            <w:noWrap w:val="0"/>
            <w:vAlign w:val="top"/>
          </w:tcPr>
          <w:p w14:paraId="30FBBB19">
            <w:pPr>
              <w:spacing w:line="360" w:lineRule="auto"/>
              <w:jc w:val="center"/>
              <w:rPr>
                <w:rFonts w:ascii="宋体" w:hAnsi="宋体" w:cs="宋体"/>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top"/>
          </w:tcPr>
          <w:p w14:paraId="676A54E7">
            <w:pPr>
              <w:spacing w:line="360" w:lineRule="auto"/>
              <w:jc w:val="center"/>
              <w:rPr>
                <w:rFonts w:ascii="宋体" w:hAnsi="宋体" w:cs="宋体"/>
                <w:highlight w:val="none"/>
              </w:rPr>
            </w:pPr>
          </w:p>
        </w:tc>
        <w:tc>
          <w:tcPr>
            <w:tcW w:w="2544" w:type="dxa"/>
            <w:tcBorders>
              <w:top w:val="single" w:color="auto" w:sz="4" w:space="0"/>
              <w:left w:val="single" w:color="auto" w:sz="4" w:space="0"/>
              <w:bottom w:val="single" w:color="auto" w:sz="4" w:space="0"/>
              <w:right w:val="single" w:color="auto" w:sz="4" w:space="0"/>
            </w:tcBorders>
            <w:noWrap w:val="0"/>
            <w:vAlign w:val="top"/>
          </w:tcPr>
          <w:p w14:paraId="10C6F9F7">
            <w:pPr>
              <w:spacing w:line="360" w:lineRule="auto"/>
              <w:jc w:val="center"/>
              <w:rPr>
                <w:rFonts w:ascii="宋体" w:hAnsi="宋体" w:cs="宋体"/>
                <w:highlight w:val="none"/>
              </w:rPr>
            </w:pPr>
          </w:p>
        </w:tc>
      </w:tr>
      <w:tr w14:paraId="55E6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59" w:type="dxa"/>
            <w:tcBorders>
              <w:top w:val="single" w:color="auto" w:sz="4" w:space="0"/>
              <w:left w:val="single" w:color="auto" w:sz="4" w:space="0"/>
              <w:bottom w:val="single" w:color="auto" w:sz="4" w:space="0"/>
              <w:right w:val="single" w:color="auto" w:sz="4" w:space="0"/>
            </w:tcBorders>
            <w:noWrap w:val="0"/>
            <w:vAlign w:val="top"/>
          </w:tcPr>
          <w:p w14:paraId="32B627EA">
            <w:pPr>
              <w:spacing w:line="360" w:lineRule="auto"/>
              <w:jc w:val="center"/>
              <w:rPr>
                <w:rFonts w:ascii="宋体" w:hAnsi="宋体" w:cs="宋体"/>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top"/>
          </w:tcPr>
          <w:p w14:paraId="314F5CE8">
            <w:pPr>
              <w:spacing w:line="360" w:lineRule="auto"/>
              <w:jc w:val="center"/>
              <w:rPr>
                <w:rFonts w:ascii="宋体" w:hAnsi="宋体" w:cs="宋体"/>
                <w:highlight w:val="none"/>
              </w:rPr>
            </w:pPr>
          </w:p>
        </w:tc>
        <w:tc>
          <w:tcPr>
            <w:tcW w:w="1130" w:type="dxa"/>
            <w:tcBorders>
              <w:top w:val="single" w:color="auto" w:sz="4" w:space="0"/>
              <w:left w:val="single" w:color="auto" w:sz="4" w:space="0"/>
              <w:bottom w:val="single" w:color="auto" w:sz="4" w:space="0"/>
              <w:right w:val="single" w:color="auto" w:sz="4" w:space="0"/>
            </w:tcBorders>
            <w:noWrap w:val="0"/>
            <w:vAlign w:val="top"/>
          </w:tcPr>
          <w:p w14:paraId="7111AF73">
            <w:pPr>
              <w:spacing w:line="360" w:lineRule="auto"/>
              <w:jc w:val="center"/>
              <w:rPr>
                <w:rFonts w:ascii="宋体" w:hAnsi="宋体" w:cs="宋体"/>
                <w:highlight w:val="none"/>
              </w:rPr>
            </w:pPr>
          </w:p>
        </w:tc>
        <w:tc>
          <w:tcPr>
            <w:tcW w:w="786" w:type="dxa"/>
            <w:tcBorders>
              <w:top w:val="single" w:color="auto" w:sz="4" w:space="0"/>
              <w:left w:val="single" w:color="auto" w:sz="4" w:space="0"/>
              <w:bottom w:val="single" w:color="auto" w:sz="4" w:space="0"/>
              <w:right w:val="single" w:color="auto" w:sz="4" w:space="0"/>
            </w:tcBorders>
            <w:noWrap w:val="0"/>
            <w:vAlign w:val="top"/>
          </w:tcPr>
          <w:p w14:paraId="657A869B">
            <w:pPr>
              <w:spacing w:line="360" w:lineRule="auto"/>
              <w:jc w:val="center"/>
              <w:rPr>
                <w:rFonts w:ascii="宋体" w:hAnsi="宋体" w:cs="宋体"/>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top"/>
          </w:tcPr>
          <w:p w14:paraId="17A16DA1">
            <w:pPr>
              <w:spacing w:line="360" w:lineRule="auto"/>
              <w:jc w:val="center"/>
              <w:rPr>
                <w:rFonts w:ascii="宋体" w:hAnsi="宋体" w:cs="宋体"/>
                <w:highlight w:val="none"/>
              </w:rPr>
            </w:pPr>
          </w:p>
        </w:tc>
        <w:tc>
          <w:tcPr>
            <w:tcW w:w="1086" w:type="dxa"/>
            <w:tcBorders>
              <w:top w:val="single" w:color="auto" w:sz="4" w:space="0"/>
              <w:left w:val="single" w:color="auto" w:sz="4" w:space="0"/>
              <w:bottom w:val="single" w:color="auto" w:sz="4" w:space="0"/>
              <w:right w:val="single" w:color="auto" w:sz="4" w:space="0"/>
            </w:tcBorders>
            <w:noWrap w:val="0"/>
            <w:vAlign w:val="top"/>
          </w:tcPr>
          <w:p w14:paraId="282AC7BB">
            <w:pPr>
              <w:spacing w:line="360" w:lineRule="auto"/>
              <w:jc w:val="center"/>
              <w:rPr>
                <w:rFonts w:ascii="宋体" w:hAnsi="宋体" w:cs="宋体"/>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top"/>
          </w:tcPr>
          <w:p w14:paraId="72E8D35A">
            <w:pPr>
              <w:spacing w:line="360" w:lineRule="auto"/>
              <w:jc w:val="center"/>
              <w:rPr>
                <w:rFonts w:ascii="宋体" w:hAnsi="宋体" w:cs="宋体"/>
                <w:highlight w:val="none"/>
              </w:rPr>
            </w:pPr>
          </w:p>
        </w:tc>
        <w:tc>
          <w:tcPr>
            <w:tcW w:w="2544" w:type="dxa"/>
            <w:tcBorders>
              <w:top w:val="single" w:color="auto" w:sz="4" w:space="0"/>
              <w:left w:val="single" w:color="auto" w:sz="4" w:space="0"/>
              <w:bottom w:val="single" w:color="auto" w:sz="4" w:space="0"/>
              <w:right w:val="single" w:color="auto" w:sz="4" w:space="0"/>
            </w:tcBorders>
            <w:noWrap w:val="0"/>
            <w:vAlign w:val="top"/>
          </w:tcPr>
          <w:p w14:paraId="54C9F0E6">
            <w:pPr>
              <w:spacing w:line="360" w:lineRule="auto"/>
              <w:jc w:val="center"/>
              <w:rPr>
                <w:rFonts w:ascii="宋体" w:hAnsi="宋体" w:cs="宋体"/>
                <w:highlight w:val="none"/>
              </w:rPr>
            </w:pPr>
          </w:p>
        </w:tc>
      </w:tr>
      <w:tr w14:paraId="4582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59" w:type="dxa"/>
            <w:tcBorders>
              <w:top w:val="single" w:color="auto" w:sz="4" w:space="0"/>
              <w:left w:val="single" w:color="auto" w:sz="4" w:space="0"/>
              <w:bottom w:val="single" w:color="auto" w:sz="4" w:space="0"/>
              <w:right w:val="single" w:color="auto" w:sz="4" w:space="0"/>
            </w:tcBorders>
            <w:noWrap w:val="0"/>
            <w:vAlign w:val="top"/>
          </w:tcPr>
          <w:p w14:paraId="78106554">
            <w:pPr>
              <w:spacing w:line="360" w:lineRule="auto"/>
              <w:jc w:val="center"/>
              <w:rPr>
                <w:rFonts w:ascii="宋体" w:hAnsi="宋体" w:cs="宋体"/>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top"/>
          </w:tcPr>
          <w:p w14:paraId="2786A452">
            <w:pPr>
              <w:spacing w:line="360" w:lineRule="auto"/>
              <w:jc w:val="center"/>
              <w:rPr>
                <w:rFonts w:ascii="宋体" w:hAnsi="宋体" w:cs="宋体"/>
                <w:highlight w:val="none"/>
              </w:rPr>
            </w:pPr>
          </w:p>
        </w:tc>
        <w:tc>
          <w:tcPr>
            <w:tcW w:w="1130" w:type="dxa"/>
            <w:tcBorders>
              <w:top w:val="single" w:color="auto" w:sz="4" w:space="0"/>
              <w:left w:val="single" w:color="auto" w:sz="4" w:space="0"/>
              <w:bottom w:val="single" w:color="auto" w:sz="4" w:space="0"/>
              <w:right w:val="single" w:color="auto" w:sz="4" w:space="0"/>
            </w:tcBorders>
            <w:noWrap w:val="0"/>
            <w:vAlign w:val="top"/>
          </w:tcPr>
          <w:p w14:paraId="7CC94E6C">
            <w:pPr>
              <w:spacing w:line="360" w:lineRule="auto"/>
              <w:jc w:val="center"/>
              <w:rPr>
                <w:rFonts w:ascii="宋体" w:hAnsi="宋体" w:cs="宋体"/>
                <w:highlight w:val="none"/>
              </w:rPr>
            </w:pPr>
          </w:p>
        </w:tc>
        <w:tc>
          <w:tcPr>
            <w:tcW w:w="786" w:type="dxa"/>
            <w:tcBorders>
              <w:top w:val="single" w:color="auto" w:sz="4" w:space="0"/>
              <w:left w:val="single" w:color="auto" w:sz="4" w:space="0"/>
              <w:bottom w:val="single" w:color="auto" w:sz="4" w:space="0"/>
              <w:right w:val="single" w:color="auto" w:sz="4" w:space="0"/>
            </w:tcBorders>
            <w:noWrap w:val="0"/>
            <w:vAlign w:val="top"/>
          </w:tcPr>
          <w:p w14:paraId="07082275">
            <w:pPr>
              <w:spacing w:line="360" w:lineRule="auto"/>
              <w:jc w:val="center"/>
              <w:rPr>
                <w:rFonts w:ascii="宋体" w:hAnsi="宋体" w:cs="宋体"/>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top"/>
          </w:tcPr>
          <w:p w14:paraId="69238B58">
            <w:pPr>
              <w:spacing w:line="360" w:lineRule="auto"/>
              <w:jc w:val="center"/>
              <w:rPr>
                <w:rFonts w:ascii="宋体" w:hAnsi="宋体" w:cs="宋体"/>
                <w:highlight w:val="none"/>
              </w:rPr>
            </w:pPr>
          </w:p>
        </w:tc>
        <w:tc>
          <w:tcPr>
            <w:tcW w:w="1086" w:type="dxa"/>
            <w:tcBorders>
              <w:top w:val="single" w:color="auto" w:sz="4" w:space="0"/>
              <w:left w:val="single" w:color="auto" w:sz="4" w:space="0"/>
              <w:bottom w:val="single" w:color="auto" w:sz="4" w:space="0"/>
              <w:right w:val="single" w:color="auto" w:sz="4" w:space="0"/>
            </w:tcBorders>
            <w:noWrap w:val="0"/>
            <w:vAlign w:val="top"/>
          </w:tcPr>
          <w:p w14:paraId="6894CA1A">
            <w:pPr>
              <w:spacing w:line="360" w:lineRule="auto"/>
              <w:jc w:val="center"/>
              <w:rPr>
                <w:rFonts w:ascii="宋体" w:hAnsi="宋体" w:cs="宋体"/>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top"/>
          </w:tcPr>
          <w:p w14:paraId="105DDFE7">
            <w:pPr>
              <w:spacing w:line="360" w:lineRule="auto"/>
              <w:jc w:val="center"/>
              <w:rPr>
                <w:rFonts w:ascii="宋体" w:hAnsi="宋体" w:cs="宋体"/>
                <w:highlight w:val="none"/>
              </w:rPr>
            </w:pPr>
          </w:p>
        </w:tc>
        <w:tc>
          <w:tcPr>
            <w:tcW w:w="2544" w:type="dxa"/>
            <w:tcBorders>
              <w:top w:val="single" w:color="auto" w:sz="4" w:space="0"/>
              <w:left w:val="single" w:color="auto" w:sz="4" w:space="0"/>
              <w:bottom w:val="single" w:color="auto" w:sz="4" w:space="0"/>
              <w:right w:val="single" w:color="auto" w:sz="4" w:space="0"/>
            </w:tcBorders>
            <w:noWrap w:val="0"/>
            <w:vAlign w:val="top"/>
          </w:tcPr>
          <w:p w14:paraId="5B262819">
            <w:pPr>
              <w:spacing w:line="360" w:lineRule="auto"/>
              <w:jc w:val="center"/>
              <w:rPr>
                <w:rFonts w:ascii="宋体" w:hAnsi="宋体" w:cs="宋体"/>
                <w:highlight w:val="none"/>
              </w:rPr>
            </w:pPr>
          </w:p>
        </w:tc>
      </w:tr>
      <w:tr w14:paraId="67A8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59" w:type="dxa"/>
            <w:tcBorders>
              <w:top w:val="single" w:color="auto" w:sz="4" w:space="0"/>
              <w:left w:val="single" w:color="auto" w:sz="4" w:space="0"/>
              <w:bottom w:val="single" w:color="auto" w:sz="4" w:space="0"/>
              <w:right w:val="single" w:color="auto" w:sz="4" w:space="0"/>
            </w:tcBorders>
            <w:noWrap w:val="0"/>
            <w:vAlign w:val="top"/>
          </w:tcPr>
          <w:p w14:paraId="32E75E73">
            <w:pPr>
              <w:spacing w:line="360" w:lineRule="auto"/>
              <w:jc w:val="center"/>
              <w:rPr>
                <w:rFonts w:ascii="宋体" w:hAnsi="宋体" w:cs="宋体"/>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top"/>
          </w:tcPr>
          <w:p w14:paraId="71145623">
            <w:pPr>
              <w:spacing w:line="360" w:lineRule="auto"/>
              <w:jc w:val="center"/>
              <w:rPr>
                <w:rFonts w:ascii="宋体" w:hAnsi="宋体" w:cs="宋体"/>
                <w:highlight w:val="none"/>
              </w:rPr>
            </w:pPr>
          </w:p>
        </w:tc>
        <w:tc>
          <w:tcPr>
            <w:tcW w:w="1130" w:type="dxa"/>
            <w:tcBorders>
              <w:top w:val="single" w:color="auto" w:sz="4" w:space="0"/>
              <w:left w:val="single" w:color="auto" w:sz="4" w:space="0"/>
              <w:bottom w:val="single" w:color="auto" w:sz="4" w:space="0"/>
              <w:right w:val="single" w:color="auto" w:sz="4" w:space="0"/>
            </w:tcBorders>
            <w:noWrap w:val="0"/>
            <w:vAlign w:val="top"/>
          </w:tcPr>
          <w:p w14:paraId="41C11C60">
            <w:pPr>
              <w:spacing w:line="360" w:lineRule="auto"/>
              <w:jc w:val="center"/>
              <w:rPr>
                <w:rFonts w:ascii="宋体" w:hAnsi="宋体" w:cs="宋体"/>
                <w:highlight w:val="none"/>
              </w:rPr>
            </w:pPr>
          </w:p>
        </w:tc>
        <w:tc>
          <w:tcPr>
            <w:tcW w:w="786" w:type="dxa"/>
            <w:tcBorders>
              <w:top w:val="single" w:color="auto" w:sz="4" w:space="0"/>
              <w:left w:val="single" w:color="auto" w:sz="4" w:space="0"/>
              <w:bottom w:val="single" w:color="auto" w:sz="4" w:space="0"/>
              <w:right w:val="single" w:color="auto" w:sz="4" w:space="0"/>
            </w:tcBorders>
            <w:noWrap w:val="0"/>
            <w:vAlign w:val="top"/>
          </w:tcPr>
          <w:p w14:paraId="5DCF9D58">
            <w:pPr>
              <w:spacing w:line="360" w:lineRule="auto"/>
              <w:jc w:val="center"/>
              <w:rPr>
                <w:rFonts w:ascii="宋体" w:hAnsi="宋体" w:cs="宋体"/>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top"/>
          </w:tcPr>
          <w:p w14:paraId="34BD1AFC">
            <w:pPr>
              <w:spacing w:line="360" w:lineRule="auto"/>
              <w:jc w:val="center"/>
              <w:rPr>
                <w:rFonts w:ascii="宋体" w:hAnsi="宋体" w:cs="宋体"/>
                <w:highlight w:val="none"/>
              </w:rPr>
            </w:pPr>
          </w:p>
        </w:tc>
        <w:tc>
          <w:tcPr>
            <w:tcW w:w="1086" w:type="dxa"/>
            <w:tcBorders>
              <w:top w:val="single" w:color="auto" w:sz="4" w:space="0"/>
              <w:left w:val="single" w:color="auto" w:sz="4" w:space="0"/>
              <w:bottom w:val="single" w:color="auto" w:sz="4" w:space="0"/>
              <w:right w:val="single" w:color="auto" w:sz="4" w:space="0"/>
            </w:tcBorders>
            <w:noWrap w:val="0"/>
            <w:vAlign w:val="top"/>
          </w:tcPr>
          <w:p w14:paraId="2A86F874">
            <w:pPr>
              <w:spacing w:line="360" w:lineRule="auto"/>
              <w:jc w:val="center"/>
              <w:rPr>
                <w:rFonts w:ascii="宋体" w:hAnsi="宋体" w:cs="宋体"/>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top"/>
          </w:tcPr>
          <w:p w14:paraId="61D08808">
            <w:pPr>
              <w:spacing w:line="360" w:lineRule="auto"/>
              <w:jc w:val="center"/>
              <w:rPr>
                <w:rFonts w:ascii="宋体" w:hAnsi="宋体" w:cs="宋体"/>
                <w:highlight w:val="none"/>
              </w:rPr>
            </w:pPr>
          </w:p>
        </w:tc>
        <w:tc>
          <w:tcPr>
            <w:tcW w:w="2544" w:type="dxa"/>
            <w:tcBorders>
              <w:top w:val="single" w:color="auto" w:sz="4" w:space="0"/>
              <w:left w:val="single" w:color="auto" w:sz="4" w:space="0"/>
              <w:bottom w:val="single" w:color="auto" w:sz="4" w:space="0"/>
              <w:right w:val="single" w:color="auto" w:sz="4" w:space="0"/>
            </w:tcBorders>
            <w:noWrap w:val="0"/>
            <w:vAlign w:val="top"/>
          </w:tcPr>
          <w:p w14:paraId="4514FA25">
            <w:pPr>
              <w:spacing w:line="360" w:lineRule="auto"/>
              <w:jc w:val="center"/>
              <w:rPr>
                <w:rFonts w:ascii="宋体" w:hAnsi="宋体" w:cs="宋体"/>
                <w:highlight w:val="none"/>
              </w:rPr>
            </w:pPr>
          </w:p>
        </w:tc>
      </w:tr>
    </w:tbl>
    <w:p w14:paraId="0F3AEB11">
      <w:pPr>
        <w:spacing w:line="360" w:lineRule="auto"/>
        <w:jc w:val="left"/>
        <w:rPr>
          <w:rFonts w:ascii="宋体" w:hAnsi="宋体" w:cs="宋体"/>
          <w:b/>
          <w:sz w:val="24"/>
          <w:highlight w:val="none"/>
        </w:rPr>
      </w:pPr>
      <w:r>
        <w:rPr>
          <w:rFonts w:hint="eastAsia" w:ascii="宋体" w:hAnsi="宋体" w:cs="宋体"/>
          <w:b/>
          <w:sz w:val="24"/>
          <w:highlight w:val="none"/>
        </w:rPr>
        <w:t>说明：本表后附每个项目成员的身份证、职称证（如有）、执业（职业）资格证（如有）等。</w:t>
      </w:r>
    </w:p>
    <w:p w14:paraId="3498C8ED">
      <w:pPr>
        <w:spacing w:line="360" w:lineRule="auto"/>
        <w:ind w:right="187"/>
        <w:rPr>
          <w:rFonts w:ascii="宋体" w:hAnsi="宋体"/>
          <w:sz w:val="24"/>
          <w:highlight w:val="none"/>
        </w:rPr>
      </w:pPr>
    </w:p>
    <w:p w14:paraId="43B47F08">
      <w:pPr>
        <w:spacing w:line="360" w:lineRule="auto"/>
        <w:ind w:right="187"/>
        <w:rPr>
          <w:rFonts w:ascii="宋体" w:hAnsi="宋体"/>
          <w:bCs/>
          <w:sz w:val="24"/>
          <w:highlight w:val="none"/>
          <w:u w:val="single"/>
        </w:rPr>
      </w:pPr>
      <w:r>
        <w:rPr>
          <w:rFonts w:hint="eastAsia" w:ascii="宋体" w:hAnsi="宋体"/>
          <w:sz w:val="24"/>
          <w:highlight w:val="none"/>
        </w:rPr>
        <w:t>供应商名称</w:t>
      </w:r>
      <w:r>
        <w:rPr>
          <w:rFonts w:hint="eastAsia" w:ascii="宋体" w:hAnsi="宋体"/>
          <w:bCs/>
          <w:sz w:val="24"/>
          <w:highlight w:val="none"/>
        </w:rPr>
        <w:t>（公章）：</w:t>
      </w:r>
    </w:p>
    <w:p w14:paraId="28D92C34">
      <w:pPr>
        <w:spacing w:line="360" w:lineRule="auto"/>
        <w:ind w:right="187"/>
        <w:rPr>
          <w:rFonts w:ascii="宋体" w:hAnsi="宋体"/>
          <w:bCs/>
          <w:sz w:val="24"/>
          <w:highlight w:val="none"/>
          <w:u w:val="single"/>
        </w:rPr>
      </w:pPr>
    </w:p>
    <w:p w14:paraId="257B3B10">
      <w:pPr>
        <w:spacing w:line="360" w:lineRule="auto"/>
        <w:ind w:right="187"/>
        <w:rPr>
          <w:rFonts w:ascii="宋体" w:hAnsi="宋体"/>
          <w:b/>
          <w:bCs/>
          <w:sz w:val="24"/>
          <w:highlight w:val="none"/>
        </w:rPr>
      </w:pPr>
      <w:r>
        <w:rPr>
          <w:rFonts w:hint="eastAsia" w:ascii="宋体" w:hAnsi="宋体"/>
          <w:bCs/>
          <w:sz w:val="24"/>
          <w:highlight w:val="none"/>
        </w:rPr>
        <w:t>法定代表人或授权代理人签字</w:t>
      </w:r>
      <w:r>
        <w:rPr>
          <w:rFonts w:hint="eastAsia" w:ascii="宋体" w:hAnsi="宋体" w:cs="宋体"/>
          <w:sz w:val="24"/>
          <w:highlight w:val="none"/>
        </w:rPr>
        <w:t>或盖章</w:t>
      </w:r>
      <w:r>
        <w:rPr>
          <w:rFonts w:hint="eastAsia" w:ascii="宋体" w:hAnsi="宋体"/>
          <w:bCs/>
          <w:sz w:val="24"/>
          <w:highlight w:val="none"/>
        </w:rPr>
        <w:t>：</w:t>
      </w:r>
    </w:p>
    <w:p w14:paraId="36F9AEDC">
      <w:pPr>
        <w:pStyle w:val="30"/>
        <w:spacing w:after="0" w:line="360" w:lineRule="auto"/>
        <w:ind w:left="6660" w:firstLine="480"/>
        <w:rPr>
          <w:rFonts w:ascii="宋体" w:hAnsi="宋体"/>
          <w:highlight w:val="none"/>
        </w:rPr>
      </w:pPr>
      <w:r>
        <w:rPr>
          <w:rFonts w:hint="eastAsia" w:ascii="宋体" w:hAnsi="宋体"/>
          <w:highlight w:val="none"/>
        </w:rPr>
        <w:t>年  月  日</w:t>
      </w:r>
    </w:p>
    <w:p w14:paraId="44D96A06">
      <w:pPr>
        <w:spacing w:before="120" w:after="120" w:line="360" w:lineRule="auto"/>
        <w:rPr>
          <w:rFonts w:hint="eastAsia" w:ascii="宋体" w:hAnsi="宋体"/>
          <w:b/>
          <w:sz w:val="24"/>
          <w:szCs w:val="21"/>
          <w:highlight w:val="none"/>
        </w:rPr>
      </w:pPr>
    </w:p>
    <w:p w14:paraId="4B3D809E">
      <w:pPr>
        <w:spacing w:before="120" w:after="120" w:line="360" w:lineRule="auto"/>
        <w:rPr>
          <w:rFonts w:hint="eastAsia" w:ascii="宋体" w:hAnsi="宋体"/>
          <w:b/>
          <w:sz w:val="24"/>
          <w:szCs w:val="21"/>
          <w:highlight w:val="none"/>
        </w:rPr>
      </w:pPr>
    </w:p>
    <w:p w14:paraId="51777AFE">
      <w:pPr>
        <w:spacing w:line="360" w:lineRule="auto"/>
        <w:jc w:val="center"/>
        <w:rPr>
          <w:rFonts w:ascii="宋体" w:hAnsi="宋体"/>
          <w:b/>
          <w:sz w:val="24"/>
          <w:highlight w:val="none"/>
        </w:rPr>
      </w:pPr>
    </w:p>
    <w:p w14:paraId="3BAE5F77">
      <w:pPr>
        <w:pStyle w:val="4"/>
        <w:spacing w:before="120" w:after="120" w:line="360" w:lineRule="auto"/>
        <w:rPr>
          <w:rFonts w:ascii="宋体" w:hAnsi="宋体"/>
          <w:b w:val="0"/>
          <w:bCs/>
          <w:sz w:val="24"/>
          <w:szCs w:val="21"/>
          <w:highlight w:val="none"/>
        </w:rPr>
      </w:pPr>
      <w:bookmarkStart w:id="134" w:name="_Toc12599"/>
      <w:r>
        <w:rPr>
          <w:rFonts w:hint="eastAsia" w:ascii="宋体" w:hAnsi="宋体"/>
          <w:b w:val="0"/>
          <w:sz w:val="24"/>
          <w:szCs w:val="21"/>
          <w:highlight w:val="none"/>
        </w:rPr>
        <w:t>附件八：近年类似业绩一览表</w:t>
      </w:r>
      <w:bookmarkEnd w:id="134"/>
    </w:p>
    <w:p w14:paraId="688A6E2A">
      <w:pPr>
        <w:pStyle w:val="20"/>
        <w:spacing w:before="0" w:after="0" w:line="360" w:lineRule="auto"/>
        <w:rPr>
          <w:rFonts w:ascii="宋体" w:hAnsi="宋体" w:eastAsia="宋体"/>
          <w:highlight w:val="none"/>
        </w:rPr>
      </w:pPr>
    </w:p>
    <w:p w14:paraId="6622700C">
      <w:pPr>
        <w:spacing w:line="360" w:lineRule="auto"/>
        <w:jc w:val="center"/>
        <w:rPr>
          <w:rFonts w:ascii="宋体" w:hAnsi="宋体"/>
          <w:b/>
          <w:sz w:val="24"/>
          <w:highlight w:val="none"/>
        </w:rPr>
      </w:pPr>
      <w:r>
        <w:rPr>
          <w:rFonts w:hint="eastAsia" w:ascii="宋体" w:hAnsi="宋体"/>
          <w:b/>
          <w:sz w:val="24"/>
          <w:highlight w:val="none"/>
        </w:rPr>
        <w:t>近年类似业绩一览表</w:t>
      </w:r>
    </w:p>
    <w:p w14:paraId="0FD90C69">
      <w:pPr>
        <w:pStyle w:val="31"/>
        <w:spacing w:line="360" w:lineRule="auto"/>
        <w:ind w:left="0" w:leftChars="0" w:firstLine="0" w:firstLineChars="0"/>
        <w:rPr>
          <w:rFonts w:hint="eastAsia" w:ascii="宋体" w:hAnsi="宋体"/>
          <w:bCs/>
          <w:highlight w:val="none"/>
          <w:u w:val="single"/>
        </w:rPr>
      </w:pPr>
      <w:r>
        <w:rPr>
          <w:rFonts w:hint="eastAsia" w:ascii="宋体" w:hAnsi="宋体"/>
          <w:bCs/>
          <w:highlight w:val="none"/>
        </w:rPr>
        <w:t>项目编号</w:t>
      </w:r>
      <w:r>
        <w:rPr>
          <w:rFonts w:hint="eastAsia" w:ascii="宋体" w:hAnsi="宋体"/>
          <w:b/>
          <w:bCs/>
          <w:highlight w:val="none"/>
        </w:rPr>
        <w:t>：</w:t>
      </w:r>
      <w:r>
        <w:rPr>
          <w:rFonts w:hint="eastAsia" w:ascii="宋体" w:hAnsi="宋体"/>
          <w:highlight w:val="none"/>
        </w:rPr>
        <w:t xml:space="preserve"> _______________________</w:t>
      </w:r>
      <w:r>
        <w:rPr>
          <w:rFonts w:hint="eastAsia" w:ascii="宋体" w:hAnsi="宋体"/>
          <w:bCs/>
          <w:highlight w:val="none"/>
          <w:u w:val="single"/>
        </w:rPr>
        <w:t xml:space="preserve"> </w:t>
      </w:r>
    </w:p>
    <w:p w14:paraId="753F7DC5">
      <w:pPr>
        <w:pStyle w:val="31"/>
        <w:spacing w:line="360" w:lineRule="auto"/>
        <w:ind w:left="0" w:leftChars="0" w:firstLine="0" w:firstLineChars="0"/>
        <w:rPr>
          <w:rFonts w:ascii="宋体" w:hAnsi="宋体"/>
          <w:b/>
          <w:highlight w:val="none"/>
        </w:rPr>
      </w:pPr>
      <w:r>
        <w:rPr>
          <w:rFonts w:hint="eastAsia" w:ascii="宋体" w:hAnsi="宋体"/>
          <w:bCs/>
          <w:highlight w:val="none"/>
        </w:rPr>
        <w:t>项目名称</w:t>
      </w:r>
      <w:r>
        <w:rPr>
          <w:rFonts w:hint="eastAsia" w:ascii="宋体" w:hAnsi="宋体"/>
          <w:b/>
          <w:bCs/>
          <w:highlight w:val="none"/>
        </w:rPr>
        <w:t>：</w:t>
      </w:r>
      <w:r>
        <w:rPr>
          <w:rFonts w:hint="eastAsia" w:ascii="宋体" w:hAnsi="宋体"/>
          <w:highlight w:val="none"/>
        </w:rPr>
        <w:t>_______________________</w:t>
      </w:r>
      <w:r>
        <w:rPr>
          <w:rFonts w:hint="eastAsia" w:ascii="宋体" w:hAnsi="宋体"/>
          <w:bCs/>
          <w:highlight w:val="none"/>
          <w:u w:val="single"/>
        </w:rPr>
        <w:t xml:space="preserve"> </w:t>
      </w:r>
      <w:r>
        <w:rPr>
          <w:rFonts w:hint="eastAsia" w:ascii="宋体" w:hAnsi="宋体"/>
          <w:bCs/>
          <w:highlight w:val="none"/>
        </w:rPr>
        <w:t xml:space="preserve">  </w:t>
      </w:r>
      <w:r>
        <w:rPr>
          <w:rFonts w:hint="eastAsia" w:ascii="宋体" w:hAnsi="宋体"/>
          <w:highlight w:val="none"/>
          <w:lang w:val="en-US" w:eastAsia="zh-CN"/>
        </w:rPr>
        <w:t>包号：</w:t>
      </w:r>
      <w:r>
        <w:rPr>
          <w:rFonts w:hint="eastAsia" w:ascii="宋体" w:hAnsi="宋体"/>
          <w:highlight w:val="none"/>
        </w:rPr>
        <w:t>___________</w:t>
      </w:r>
      <w:r>
        <w:rPr>
          <w:rFonts w:hint="eastAsia" w:ascii="宋体" w:hAnsi="宋体"/>
          <w:highlight w:val="none"/>
          <w:lang w:val="en-US" w:eastAsia="zh-CN"/>
        </w:rPr>
        <w:t xml:space="preserve"> </w:t>
      </w:r>
      <w:r>
        <w:rPr>
          <w:rFonts w:hint="eastAsia" w:ascii="宋体" w:hAnsi="宋体"/>
          <w:bCs/>
          <w:highlight w:val="none"/>
          <w:u w:val="single"/>
        </w:rPr>
        <w:t xml:space="preserve"> </w:t>
      </w:r>
      <w:r>
        <w:rPr>
          <w:rFonts w:hint="eastAsia" w:ascii="宋体" w:hAnsi="宋体"/>
          <w:bCs/>
          <w:highlight w:val="none"/>
          <w:u w:val="none"/>
        </w:rPr>
        <w:t xml:space="preserve"> </w:t>
      </w:r>
      <w:r>
        <w:rPr>
          <w:rFonts w:hint="eastAsia" w:ascii="宋体" w:hAnsi="宋体"/>
          <w:bCs/>
          <w:highlight w:val="none"/>
          <w:u w:val="none"/>
          <w:lang w:val="en-US" w:eastAsia="zh-CN"/>
        </w:rPr>
        <w:t xml:space="preserve">  </w:t>
      </w:r>
    </w:p>
    <w:tbl>
      <w:tblPr>
        <w:tblStyle w:val="75"/>
        <w:tblW w:w="9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578"/>
        <w:gridCol w:w="1487"/>
        <w:gridCol w:w="1095"/>
        <w:gridCol w:w="1040"/>
        <w:gridCol w:w="1131"/>
        <w:gridCol w:w="1234"/>
      </w:tblGrid>
      <w:tr w14:paraId="6FE0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671" w:type="dxa"/>
            <w:noWrap w:val="0"/>
            <w:vAlign w:val="center"/>
          </w:tcPr>
          <w:p w14:paraId="50F5D0C8">
            <w:pPr>
              <w:tabs>
                <w:tab w:val="left" w:pos="720"/>
                <w:tab w:val="left" w:pos="1440"/>
                <w:tab w:val="left" w:pos="1620"/>
              </w:tabs>
              <w:spacing w:line="360" w:lineRule="auto"/>
              <w:ind w:left="-97" w:leftChars="-46" w:right="-68"/>
              <w:jc w:val="center"/>
              <w:rPr>
                <w:rFonts w:ascii="宋体" w:hAnsi="宋体"/>
                <w:bCs/>
                <w:sz w:val="24"/>
                <w:highlight w:val="none"/>
              </w:rPr>
            </w:pPr>
            <w:r>
              <w:rPr>
                <w:rFonts w:hint="eastAsia" w:ascii="宋体" w:hAnsi="宋体"/>
                <w:bCs/>
                <w:sz w:val="24"/>
                <w:highlight w:val="none"/>
              </w:rPr>
              <w:t>项目名称</w:t>
            </w:r>
          </w:p>
        </w:tc>
        <w:tc>
          <w:tcPr>
            <w:tcW w:w="1578" w:type="dxa"/>
            <w:noWrap w:val="0"/>
            <w:vAlign w:val="center"/>
          </w:tcPr>
          <w:p w14:paraId="766A2B4B">
            <w:pPr>
              <w:tabs>
                <w:tab w:val="left" w:pos="720"/>
                <w:tab w:val="left" w:pos="1440"/>
                <w:tab w:val="left" w:pos="1620"/>
              </w:tabs>
              <w:spacing w:line="360" w:lineRule="auto"/>
              <w:ind w:left="-97" w:leftChars="-46" w:right="-68"/>
              <w:jc w:val="center"/>
              <w:rPr>
                <w:rFonts w:ascii="宋体" w:hAnsi="宋体"/>
                <w:bCs/>
                <w:sz w:val="24"/>
                <w:highlight w:val="none"/>
              </w:rPr>
            </w:pPr>
            <w:r>
              <w:rPr>
                <w:rFonts w:hint="eastAsia" w:ascii="宋体" w:hAnsi="宋体"/>
                <w:bCs/>
                <w:sz w:val="24"/>
                <w:highlight w:val="none"/>
              </w:rPr>
              <w:t>项目单位</w:t>
            </w:r>
          </w:p>
        </w:tc>
        <w:tc>
          <w:tcPr>
            <w:tcW w:w="1487" w:type="dxa"/>
            <w:noWrap w:val="0"/>
            <w:vAlign w:val="center"/>
          </w:tcPr>
          <w:p w14:paraId="0F46DF5F">
            <w:pPr>
              <w:tabs>
                <w:tab w:val="left" w:pos="720"/>
                <w:tab w:val="left" w:pos="1440"/>
                <w:tab w:val="left" w:pos="1620"/>
              </w:tabs>
              <w:spacing w:line="360" w:lineRule="auto"/>
              <w:ind w:right="-68"/>
              <w:jc w:val="center"/>
              <w:rPr>
                <w:rFonts w:ascii="宋体" w:hAnsi="宋体"/>
                <w:bCs/>
                <w:sz w:val="24"/>
                <w:highlight w:val="none"/>
              </w:rPr>
            </w:pPr>
            <w:r>
              <w:rPr>
                <w:rFonts w:hint="eastAsia" w:ascii="宋体" w:hAnsi="宋体"/>
                <w:bCs/>
                <w:sz w:val="24"/>
                <w:highlight w:val="none"/>
              </w:rPr>
              <w:t>合同内容</w:t>
            </w:r>
          </w:p>
        </w:tc>
        <w:tc>
          <w:tcPr>
            <w:tcW w:w="1095" w:type="dxa"/>
            <w:noWrap w:val="0"/>
            <w:vAlign w:val="center"/>
          </w:tcPr>
          <w:p w14:paraId="65ABE0D6">
            <w:pPr>
              <w:tabs>
                <w:tab w:val="left" w:pos="720"/>
                <w:tab w:val="left" w:pos="1440"/>
                <w:tab w:val="left" w:pos="1620"/>
              </w:tabs>
              <w:spacing w:line="360" w:lineRule="auto"/>
              <w:ind w:left="-97" w:leftChars="-46" w:right="-68"/>
              <w:jc w:val="center"/>
              <w:rPr>
                <w:rFonts w:ascii="宋体" w:hAnsi="宋体"/>
                <w:bCs/>
                <w:sz w:val="24"/>
                <w:highlight w:val="none"/>
              </w:rPr>
            </w:pPr>
            <w:r>
              <w:rPr>
                <w:rFonts w:hint="eastAsia" w:ascii="宋体" w:hAnsi="宋体"/>
                <w:bCs/>
                <w:sz w:val="24"/>
                <w:highlight w:val="none"/>
              </w:rPr>
              <w:t>合同额</w:t>
            </w:r>
          </w:p>
        </w:tc>
        <w:tc>
          <w:tcPr>
            <w:tcW w:w="1040" w:type="dxa"/>
            <w:noWrap w:val="0"/>
            <w:vAlign w:val="center"/>
          </w:tcPr>
          <w:p w14:paraId="0D0C323A">
            <w:pPr>
              <w:tabs>
                <w:tab w:val="left" w:pos="720"/>
                <w:tab w:val="left" w:pos="1440"/>
                <w:tab w:val="left" w:pos="1620"/>
              </w:tabs>
              <w:spacing w:line="360" w:lineRule="auto"/>
              <w:ind w:left="-97" w:leftChars="-46" w:right="-68"/>
              <w:jc w:val="center"/>
              <w:rPr>
                <w:rFonts w:ascii="宋体" w:hAnsi="宋体"/>
                <w:bCs/>
                <w:sz w:val="24"/>
                <w:highlight w:val="none"/>
              </w:rPr>
            </w:pPr>
            <w:r>
              <w:rPr>
                <w:rFonts w:hint="eastAsia" w:ascii="宋体" w:hAnsi="宋体"/>
                <w:bCs/>
                <w:sz w:val="24"/>
                <w:highlight w:val="none"/>
              </w:rPr>
              <w:t>合同签订时间</w:t>
            </w:r>
          </w:p>
        </w:tc>
        <w:tc>
          <w:tcPr>
            <w:tcW w:w="1131" w:type="dxa"/>
            <w:noWrap w:val="0"/>
            <w:vAlign w:val="center"/>
          </w:tcPr>
          <w:p w14:paraId="1A1F433F">
            <w:pPr>
              <w:tabs>
                <w:tab w:val="left" w:pos="720"/>
                <w:tab w:val="left" w:pos="1440"/>
                <w:tab w:val="left" w:pos="1620"/>
              </w:tabs>
              <w:spacing w:line="360" w:lineRule="auto"/>
              <w:ind w:left="-97" w:leftChars="-46" w:right="-68"/>
              <w:jc w:val="center"/>
              <w:rPr>
                <w:rFonts w:ascii="宋体" w:hAnsi="宋体"/>
                <w:bCs/>
                <w:sz w:val="24"/>
                <w:highlight w:val="none"/>
              </w:rPr>
            </w:pPr>
            <w:r>
              <w:rPr>
                <w:rFonts w:hint="eastAsia" w:ascii="宋体" w:hAnsi="宋体"/>
                <w:bCs/>
                <w:sz w:val="24"/>
                <w:highlight w:val="none"/>
              </w:rPr>
              <w:t>项目单位联系人</w:t>
            </w:r>
          </w:p>
        </w:tc>
        <w:tc>
          <w:tcPr>
            <w:tcW w:w="1234" w:type="dxa"/>
            <w:noWrap w:val="0"/>
            <w:vAlign w:val="center"/>
          </w:tcPr>
          <w:p w14:paraId="72B53519">
            <w:pPr>
              <w:tabs>
                <w:tab w:val="left" w:pos="720"/>
                <w:tab w:val="left" w:pos="1440"/>
                <w:tab w:val="left" w:pos="1620"/>
              </w:tabs>
              <w:spacing w:line="360" w:lineRule="auto"/>
              <w:ind w:left="-97" w:leftChars="-46" w:right="-68"/>
              <w:jc w:val="center"/>
              <w:rPr>
                <w:rFonts w:ascii="宋体" w:hAnsi="宋体"/>
                <w:bCs/>
                <w:sz w:val="24"/>
                <w:highlight w:val="none"/>
              </w:rPr>
            </w:pPr>
            <w:r>
              <w:rPr>
                <w:rFonts w:hint="eastAsia" w:ascii="宋体" w:hAnsi="宋体"/>
                <w:bCs/>
                <w:sz w:val="24"/>
                <w:highlight w:val="none"/>
              </w:rPr>
              <w:t>联系电话</w:t>
            </w:r>
          </w:p>
        </w:tc>
      </w:tr>
      <w:tr w14:paraId="74AC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671" w:type="dxa"/>
            <w:noWrap w:val="0"/>
            <w:vAlign w:val="top"/>
          </w:tcPr>
          <w:p w14:paraId="2092F28B">
            <w:pPr>
              <w:tabs>
                <w:tab w:val="left" w:pos="720"/>
                <w:tab w:val="left" w:pos="1440"/>
                <w:tab w:val="left" w:pos="1620"/>
              </w:tabs>
              <w:spacing w:line="360" w:lineRule="auto"/>
              <w:ind w:right="187"/>
              <w:rPr>
                <w:rFonts w:ascii="宋体" w:hAnsi="宋体"/>
                <w:sz w:val="24"/>
                <w:highlight w:val="none"/>
              </w:rPr>
            </w:pPr>
          </w:p>
        </w:tc>
        <w:tc>
          <w:tcPr>
            <w:tcW w:w="1578" w:type="dxa"/>
            <w:noWrap w:val="0"/>
            <w:vAlign w:val="top"/>
          </w:tcPr>
          <w:p w14:paraId="13C82B75">
            <w:pPr>
              <w:tabs>
                <w:tab w:val="left" w:pos="720"/>
                <w:tab w:val="left" w:pos="1440"/>
                <w:tab w:val="left" w:pos="1620"/>
              </w:tabs>
              <w:spacing w:line="360" w:lineRule="auto"/>
              <w:ind w:right="187"/>
              <w:rPr>
                <w:rFonts w:ascii="宋体" w:hAnsi="宋体"/>
                <w:sz w:val="24"/>
                <w:highlight w:val="none"/>
              </w:rPr>
            </w:pPr>
          </w:p>
        </w:tc>
        <w:tc>
          <w:tcPr>
            <w:tcW w:w="1487" w:type="dxa"/>
            <w:noWrap w:val="0"/>
            <w:vAlign w:val="top"/>
          </w:tcPr>
          <w:p w14:paraId="4E0D03E4">
            <w:pPr>
              <w:tabs>
                <w:tab w:val="left" w:pos="720"/>
                <w:tab w:val="left" w:pos="1440"/>
                <w:tab w:val="left" w:pos="1620"/>
              </w:tabs>
              <w:spacing w:line="360" w:lineRule="auto"/>
              <w:ind w:right="187"/>
              <w:rPr>
                <w:rFonts w:ascii="宋体" w:hAnsi="宋体"/>
                <w:sz w:val="24"/>
                <w:highlight w:val="none"/>
              </w:rPr>
            </w:pPr>
          </w:p>
        </w:tc>
        <w:tc>
          <w:tcPr>
            <w:tcW w:w="1095" w:type="dxa"/>
            <w:noWrap w:val="0"/>
            <w:vAlign w:val="top"/>
          </w:tcPr>
          <w:p w14:paraId="5A54FC30">
            <w:pPr>
              <w:tabs>
                <w:tab w:val="left" w:pos="720"/>
                <w:tab w:val="left" w:pos="1440"/>
                <w:tab w:val="left" w:pos="1620"/>
              </w:tabs>
              <w:spacing w:line="360" w:lineRule="auto"/>
              <w:ind w:right="187"/>
              <w:rPr>
                <w:rFonts w:ascii="宋体" w:hAnsi="宋体"/>
                <w:sz w:val="24"/>
                <w:highlight w:val="none"/>
              </w:rPr>
            </w:pPr>
          </w:p>
        </w:tc>
        <w:tc>
          <w:tcPr>
            <w:tcW w:w="1040" w:type="dxa"/>
            <w:noWrap w:val="0"/>
            <w:vAlign w:val="top"/>
          </w:tcPr>
          <w:p w14:paraId="13A362A0">
            <w:pPr>
              <w:tabs>
                <w:tab w:val="left" w:pos="720"/>
                <w:tab w:val="left" w:pos="1440"/>
                <w:tab w:val="left" w:pos="1620"/>
              </w:tabs>
              <w:spacing w:line="360" w:lineRule="auto"/>
              <w:ind w:right="187"/>
              <w:rPr>
                <w:rFonts w:ascii="宋体" w:hAnsi="宋体"/>
                <w:sz w:val="24"/>
                <w:highlight w:val="none"/>
              </w:rPr>
            </w:pPr>
          </w:p>
        </w:tc>
        <w:tc>
          <w:tcPr>
            <w:tcW w:w="1131" w:type="dxa"/>
            <w:noWrap w:val="0"/>
            <w:vAlign w:val="top"/>
          </w:tcPr>
          <w:p w14:paraId="7CB76FFC">
            <w:pPr>
              <w:tabs>
                <w:tab w:val="left" w:pos="720"/>
                <w:tab w:val="left" w:pos="1440"/>
                <w:tab w:val="left" w:pos="1620"/>
              </w:tabs>
              <w:spacing w:line="360" w:lineRule="auto"/>
              <w:ind w:right="187"/>
              <w:rPr>
                <w:rFonts w:ascii="宋体" w:hAnsi="宋体"/>
                <w:sz w:val="24"/>
                <w:highlight w:val="none"/>
              </w:rPr>
            </w:pPr>
          </w:p>
        </w:tc>
        <w:tc>
          <w:tcPr>
            <w:tcW w:w="1234" w:type="dxa"/>
            <w:noWrap w:val="0"/>
            <w:vAlign w:val="top"/>
          </w:tcPr>
          <w:p w14:paraId="7AA1F8AD">
            <w:pPr>
              <w:tabs>
                <w:tab w:val="left" w:pos="720"/>
                <w:tab w:val="left" w:pos="1440"/>
                <w:tab w:val="left" w:pos="1620"/>
              </w:tabs>
              <w:spacing w:line="360" w:lineRule="auto"/>
              <w:ind w:right="187"/>
              <w:rPr>
                <w:rFonts w:ascii="宋体" w:hAnsi="宋体"/>
                <w:sz w:val="24"/>
                <w:highlight w:val="none"/>
              </w:rPr>
            </w:pPr>
          </w:p>
        </w:tc>
      </w:tr>
      <w:tr w14:paraId="0D73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671" w:type="dxa"/>
            <w:noWrap w:val="0"/>
            <w:vAlign w:val="top"/>
          </w:tcPr>
          <w:p w14:paraId="3C326B8B">
            <w:pPr>
              <w:tabs>
                <w:tab w:val="left" w:pos="720"/>
                <w:tab w:val="left" w:pos="1440"/>
                <w:tab w:val="left" w:pos="1620"/>
              </w:tabs>
              <w:spacing w:line="360" w:lineRule="auto"/>
              <w:ind w:right="187"/>
              <w:rPr>
                <w:rFonts w:ascii="宋体" w:hAnsi="宋体"/>
                <w:sz w:val="24"/>
                <w:highlight w:val="none"/>
              </w:rPr>
            </w:pPr>
          </w:p>
        </w:tc>
        <w:tc>
          <w:tcPr>
            <w:tcW w:w="1578" w:type="dxa"/>
            <w:noWrap w:val="0"/>
            <w:vAlign w:val="top"/>
          </w:tcPr>
          <w:p w14:paraId="3A41807B">
            <w:pPr>
              <w:tabs>
                <w:tab w:val="left" w:pos="720"/>
                <w:tab w:val="left" w:pos="1440"/>
                <w:tab w:val="left" w:pos="1620"/>
              </w:tabs>
              <w:spacing w:line="360" w:lineRule="auto"/>
              <w:ind w:right="187"/>
              <w:rPr>
                <w:rFonts w:ascii="宋体" w:hAnsi="宋体"/>
                <w:sz w:val="24"/>
                <w:highlight w:val="none"/>
              </w:rPr>
            </w:pPr>
          </w:p>
        </w:tc>
        <w:tc>
          <w:tcPr>
            <w:tcW w:w="1487" w:type="dxa"/>
            <w:noWrap w:val="0"/>
            <w:vAlign w:val="top"/>
          </w:tcPr>
          <w:p w14:paraId="4D966264">
            <w:pPr>
              <w:tabs>
                <w:tab w:val="left" w:pos="720"/>
                <w:tab w:val="left" w:pos="1440"/>
                <w:tab w:val="left" w:pos="1620"/>
              </w:tabs>
              <w:spacing w:line="360" w:lineRule="auto"/>
              <w:ind w:right="187"/>
              <w:rPr>
                <w:rFonts w:ascii="宋体" w:hAnsi="宋体"/>
                <w:sz w:val="24"/>
                <w:highlight w:val="none"/>
              </w:rPr>
            </w:pPr>
          </w:p>
        </w:tc>
        <w:tc>
          <w:tcPr>
            <w:tcW w:w="1095" w:type="dxa"/>
            <w:noWrap w:val="0"/>
            <w:vAlign w:val="top"/>
          </w:tcPr>
          <w:p w14:paraId="5A987337">
            <w:pPr>
              <w:tabs>
                <w:tab w:val="left" w:pos="720"/>
                <w:tab w:val="left" w:pos="1440"/>
                <w:tab w:val="left" w:pos="1620"/>
              </w:tabs>
              <w:spacing w:line="360" w:lineRule="auto"/>
              <w:ind w:right="187"/>
              <w:rPr>
                <w:rFonts w:ascii="宋体" w:hAnsi="宋体"/>
                <w:sz w:val="24"/>
                <w:highlight w:val="none"/>
              </w:rPr>
            </w:pPr>
          </w:p>
        </w:tc>
        <w:tc>
          <w:tcPr>
            <w:tcW w:w="1040" w:type="dxa"/>
            <w:noWrap w:val="0"/>
            <w:vAlign w:val="top"/>
          </w:tcPr>
          <w:p w14:paraId="3300B5D1">
            <w:pPr>
              <w:tabs>
                <w:tab w:val="left" w:pos="720"/>
                <w:tab w:val="left" w:pos="1440"/>
                <w:tab w:val="left" w:pos="1620"/>
              </w:tabs>
              <w:spacing w:line="360" w:lineRule="auto"/>
              <w:ind w:right="187"/>
              <w:rPr>
                <w:rFonts w:ascii="宋体" w:hAnsi="宋体"/>
                <w:sz w:val="24"/>
                <w:highlight w:val="none"/>
              </w:rPr>
            </w:pPr>
          </w:p>
        </w:tc>
        <w:tc>
          <w:tcPr>
            <w:tcW w:w="1131" w:type="dxa"/>
            <w:noWrap w:val="0"/>
            <w:vAlign w:val="top"/>
          </w:tcPr>
          <w:p w14:paraId="1E8C9E82">
            <w:pPr>
              <w:tabs>
                <w:tab w:val="left" w:pos="720"/>
                <w:tab w:val="left" w:pos="1440"/>
                <w:tab w:val="left" w:pos="1620"/>
              </w:tabs>
              <w:spacing w:line="360" w:lineRule="auto"/>
              <w:ind w:right="187"/>
              <w:rPr>
                <w:rFonts w:ascii="宋体" w:hAnsi="宋体"/>
                <w:sz w:val="24"/>
                <w:highlight w:val="none"/>
              </w:rPr>
            </w:pPr>
          </w:p>
        </w:tc>
        <w:tc>
          <w:tcPr>
            <w:tcW w:w="1234" w:type="dxa"/>
            <w:noWrap w:val="0"/>
            <w:vAlign w:val="top"/>
          </w:tcPr>
          <w:p w14:paraId="1618CA4E">
            <w:pPr>
              <w:tabs>
                <w:tab w:val="left" w:pos="720"/>
                <w:tab w:val="left" w:pos="1440"/>
                <w:tab w:val="left" w:pos="1620"/>
              </w:tabs>
              <w:spacing w:line="360" w:lineRule="auto"/>
              <w:ind w:right="187"/>
              <w:rPr>
                <w:rFonts w:ascii="宋体" w:hAnsi="宋体"/>
                <w:sz w:val="24"/>
                <w:highlight w:val="none"/>
              </w:rPr>
            </w:pPr>
          </w:p>
        </w:tc>
      </w:tr>
      <w:tr w14:paraId="0BD9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671" w:type="dxa"/>
            <w:noWrap w:val="0"/>
            <w:vAlign w:val="top"/>
          </w:tcPr>
          <w:p w14:paraId="21F912A3">
            <w:pPr>
              <w:tabs>
                <w:tab w:val="left" w:pos="720"/>
                <w:tab w:val="left" w:pos="1440"/>
                <w:tab w:val="left" w:pos="1620"/>
              </w:tabs>
              <w:spacing w:line="360" w:lineRule="auto"/>
              <w:ind w:right="187"/>
              <w:rPr>
                <w:rFonts w:ascii="宋体" w:hAnsi="宋体"/>
                <w:sz w:val="24"/>
                <w:highlight w:val="none"/>
              </w:rPr>
            </w:pPr>
          </w:p>
        </w:tc>
        <w:tc>
          <w:tcPr>
            <w:tcW w:w="1578" w:type="dxa"/>
            <w:noWrap w:val="0"/>
            <w:vAlign w:val="top"/>
          </w:tcPr>
          <w:p w14:paraId="73EB1EA2">
            <w:pPr>
              <w:tabs>
                <w:tab w:val="left" w:pos="720"/>
                <w:tab w:val="left" w:pos="1440"/>
                <w:tab w:val="left" w:pos="1620"/>
              </w:tabs>
              <w:spacing w:line="360" w:lineRule="auto"/>
              <w:ind w:right="187"/>
              <w:rPr>
                <w:rFonts w:ascii="宋体" w:hAnsi="宋体"/>
                <w:sz w:val="24"/>
                <w:highlight w:val="none"/>
              </w:rPr>
            </w:pPr>
          </w:p>
        </w:tc>
        <w:tc>
          <w:tcPr>
            <w:tcW w:w="1487" w:type="dxa"/>
            <w:noWrap w:val="0"/>
            <w:vAlign w:val="top"/>
          </w:tcPr>
          <w:p w14:paraId="152FFD90">
            <w:pPr>
              <w:tabs>
                <w:tab w:val="left" w:pos="720"/>
                <w:tab w:val="left" w:pos="1440"/>
                <w:tab w:val="left" w:pos="1620"/>
              </w:tabs>
              <w:spacing w:line="360" w:lineRule="auto"/>
              <w:ind w:right="187"/>
              <w:rPr>
                <w:rFonts w:ascii="宋体" w:hAnsi="宋体"/>
                <w:sz w:val="24"/>
                <w:highlight w:val="none"/>
              </w:rPr>
            </w:pPr>
          </w:p>
        </w:tc>
        <w:tc>
          <w:tcPr>
            <w:tcW w:w="1095" w:type="dxa"/>
            <w:noWrap w:val="0"/>
            <w:vAlign w:val="top"/>
          </w:tcPr>
          <w:p w14:paraId="3864F240">
            <w:pPr>
              <w:tabs>
                <w:tab w:val="left" w:pos="720"/>
                <w:tab w:val="left" w:pos="1440"/>
                <w:tab w:val="left" w:pos="1620"/>
              </w:tabs>
              <w:spacing w:line="360" w:lineRule="auto"/>
              <w:ind w:right="187"/>
              <w:rPr>
                <w:rFonts w:ascii="宋体" w:hAnsi="宋体"/>
                <w:sz w:val="24"/>
                <w:highlight w:val="none"/>
              </w:rPr>
            </w:pPr>
          </w:p>
        </w:tc>
        <w:tc>
          <w:tcPr>
            <w:tcW w:w="1040" w:type="dxa"/>
            <w:noWrap w:val="0"/>
            <w:vAlign w:val="top"/>
          </w:tcPr>
          <w:p w14:paraId="41372A9D">
            <w:pPr>
              <w:tabs>
                <w:tab w:val="left" w:pos="720"/>
                <w:tab w:val="left" w:pos="1440"/>
                <w:tab w:val="left" w:pos="1620"/>
              </w:tabs>
              <w:spacing w:line="360" w:lineRule="auto"/>
              <w:ind w:right="187"/>
              <w:rPr>
                <w:rFonts w:ascii="宋体" w:hAnsi="宋体"/>
                <w:sz w:val="24"/>
                <w:highlight w:val="none"/>
              </w:rPr>
            </w:pPr>
          </w:p>
        </w:tc>
        <w:tc>
          <w:tcPr>
            <w:tcW w:w="1131" w:type="dxa"/>
            <w:noWrap w:val="0"/>
            <w:vAlign w:val="top"/>
          </w:tcPr>
          <w:p w14:paraId="64D567D0">
            <w:pPr>
              <w:tabs>
                <w:tab w:val="left" w:pos="720"/>
                <w:tab w:val="left" w:pos="1440"/>
                <w:tab w:val="left" w:pos="1620"/>
              </w:tabs>
              <w:spacing w:line="360" w:lineRule="auto"/>
              <w:ind w:right="187"/>
              <w:rPr>
                <w:rFonts w:ascii="宋体" w:hAnsi="宋体"/>
                <w:sz w:val="24"/>
                <w:highlight w:val="none"/>
              </w:rPr>
            </w:pPr>
          </w:p>
        </w:tc>
        <w:tc>
          <w:tcPr>
            <w:tcW w:w="1234" w:type="dxa"/>
            <w:noWrap w:val="0"/>
            <w:vAlign w:val="top"/>
          </w:tcPr>
          <w:p w14:paraId="103FEBB9">
            <w:pPr>
              <w:tabs>
                <w:tab w:val="left" w:pos="720"/>
                <w:tab w:val="left" w:pos="1440"/>
                <w:tab w:val="left" w:pos="1620"/>
              </w:tabs>
              <w:spacing w:line="360" w:lineRule="auto"/>
              <w:ind w:right="187"/>
              <w:rPr>
                <w:rFonts w:ascii="宋体" w:hAnsi="宋体"/>
                <w:sz w:val="24"/>
                <w:highlight w:val="none"/>
              </w:rPr>
            </w:pPr>
          </w:p>
        </w:tc>
      </w:tr>
      <w:tr w14:paraId="5604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671" w:type="dxa"/>
            <w:noWrap w:val="0"/>
            <w:vAlign w:val="top"/>
          </w:tcPr>
          <w:p w14:paraId="4DD65A07">
            <w:pPr>
              <w:tabs>
                <w:tab w:val="left" w:pos="720"/>
                <w:tab w:val="left" w:pos="1440"/>
                <w:tab w:val="left" w:pos="1620"/>
              </w:tabs>
              <w:spacing w:line="360" w:lineRule="auto"/>
              <w:ind w:right="187"/>
              <w:rPr>
                <w:rFonts w:ascii="宋体" w:hAnsi="宋体"/>
                <w:sz w:val="24"/>
                <w:highlight w:val="none"/>
              </w:rPr>
            </w:pPr>
          </w:p>
        </w:tc>
        <w:tc>
          <w:tcPr>
            <w:tcW w:w="1578" w:type="dxa"/>
            <w:noWrap w:val="0"/>
            <w:vAlign w:val="top"/>
          </w:tcPr>
          <w:p w14:paraId="36C1CBEF">
            <w:pPr>
              <w:tabs>
                <w:tab w:val="left" w:pos="720"/>
                <w:tab w:val="left" w:pos="1440"/>
                <w:tab w:val="left" w:pos="1620"/>
              </w:tabs>
              <w:spacing w:line="360" w:lineRule="auto"/>
              <w:ind w:right="187"/>
              <w:rPr>
                <w:rFonts w:ascii="宋体" w:hAnsi="宋体"/>
                <w:sz w:val="24"/>
                <w:highlight w:val="none"/>
              </w:rPr>
            </w:pPr>
          </w:p>
        </w:tc>
        <w:tc>
          <w:tcPr>
            <w:tcW w:w="1487" w:type="dxa"/>
            <w:noWrap w:val="0"/>
            <w:vAlign w:val="top"/>
          </w:tcPr>
          <w:p w14:paraId="43708997">
            <w:pPr>
              <w:tabs>
                <w:tab w:val="left" w:pos="720"/>
                <w:tab w:val="left" w:pos="1440"/>
                <w:tab w:val="left" w:pos="1620"/>
              </w:tabs>
              <w:spacing w:line="360" w:lineRule="auto"/>
              <w:ind w:right="187"/>
              <w:rPr>
                <w:rFonts w:ascii="宋体" w:hAnsi="宋体"/>
                <w:sz w:val="24"/>
                <w:highlight w:val="none"/>
              </w:rPr>
            </w:pPr>
          </w:p>
        </w:tc>
        <w:tc>
          <w:tcPr>
            <w:tcW w:w="1095" w:type="dxa"/>
            <w:noWrap w:val="0"/>
            <w:vAlign w:val="top"/>
          </w:tcPr>
          <w:p w14:paraId="3573F912">
            <w:pPr>
              <w:tabs>
                <w:tab w:val="left" w:pos="720"/>
                <w:tab w:val="left" w:pos="1440"/>
                <w:tab w:val="left" w:pos="1620"/>
              </w:tabs>
              <w:spacing w:line="360" w:lineRule="auto"/>
              <w:ind w:right="187"/>
              <w:rPr>
                <w:rFonts w:ascii="宋体" w:hAnsi="宋体"/>
                <w:sz w:val="24"/>
                <w:highlight w:val="none"/>
              </w:rPr>
            </w:pPr>
          </w:p>
        </w:tc>
        <w:tc>
          <w:tcPr>
            <w:tcW w:w="1040" w:type="dxa"/>
            <w:noWrap w:val="0"/>
            <w:vAlign w:val="top"/>
          </w:tcPr>
          <w:p w14:paraId="6F37C726">
            <w:pPr>
              <w:tabs>
                <w:tab w:val="left" w:pos="720"/>
                <w:tab w:val="left" w:pos="1440"/>
                <w:tab w:val="left" w:pos="1620"/>
              </w:tabs>
              <w:spacing w:line="360" w:lineRule="auto"/>
              <w:ind w:right="187"/>
              <w:rPr>
                <w:rFonts w:ascii="宋体" w:hAnsi="宋体"/>
                <w:sz w:val="24"/>
                <w:highlight w:val="none"/>
              </w:rPr>
            </w:pPr>
          </w:p>
        </w:tc>
        <w:tc>
          <w:tcPr>
            <w:tcW w:w="1131" w:type="dxa"/>
            <w:noWrap w:val="0"/>
            <w:vAlign w:val="top"/>
          </w:tcPr>
          <w:p w14:paraId="6EA8E5AF">
            <w:pPr>
              <w:tabs>
                <w:tab w:val="left" w:pos="720"/>
                <w:tab w:val="left" w:pos="1440"/>
                <w:tab w:val="left" w:pos="1620"/>
              </w:tabs>
              <w:spacing w:line="360" w:lineRule="auto"/>
              <w:ind w:right="187"/>
              <w:rPr>
                <w:rFonts w:ascii="宋体" w:hAnsi="宋体"/>
                <w:sz w:val="24"/>
                <w:highlight w:val="none"/>
              </w:rPr>
            </w:pPr>
          </w:p>
        </w:tc>
        <w:tc>
          <w:tcPr>
            <w:tcW w:w="1234" w:type="dxa"/>
            <w:noWrap w:val="0"/>
            <w:vAlign w:val="top"/>
          </w:tcPr>
          <w:p w14:paraId="069EB9F2">
            <w:pPr>
              <w:tabs>
                <w:tab w:val="left" w:pos="720"/>
                <w:tab w:val="left" w:pos="1440"/>
                <w:tab w:val="left" w:pos="1620"/>
              </w:tabs>
              <w:spacing w:line="360" w:lineRule="auto"/>
              <w:ind w:right="187"/>
              <w:rPr>
                <w:rFonts w:ascii="宋体" w:hAnsi="宋体"/>
                <w:sz w:val="24"/>
                <w:highlight w:val="none"/>
              </w:rPr>
            </w:pPr>
          </w:p>
        </w:tc>
      </w:tr>
      <w:tr w14:paraId="473D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671" w:type="dxa"/>
            <w:noWrap w:val="0"/>
            <w:vAlign w:val="top"/>
          </w:tcPr>
          <w:p w14:paraId="764EAB3F">
            <w:pPr>
              <w:tabs>
                <w:tab w:val="left" w:pos="720"/>
                <w:tab w:val="left" w:pos="1440"/>
                <w:tab w:val="left" w:pos="1620"/>
              </w:tabs>
              <w:spacing w:line="360" w:lineRule="auto"/>
              <w:ind w:right="187"/>
              <w:rPr>
                <w:rFonts w:ascii="宋体" w:hAnsi="宋体"/>
                <w:sz w:val="24"/>
                <w:highlight w:val="none"/>
              </w:rPr>
            </w:pPr>
          </w:p>
        </w:tc>
        <w:tc>
          <w:tcPr>
            <w:tcW w:w="1578" w:type="dxa"/>
            <w:noWrap w:val="0"/>
            <w:vAlign w:val="top"/>
          </w:tcPr>
          <w:p w14:paraId="145A592A">
            <w:pPr>
              <w:tabs>
                <w:tab w:val="left" w:pos="720"/>
                <w:tab w:val="left" w:pos="1440"/>
                <w:tab w:val="left" w:pos="1620"/>
              </w:tabs>
              <w:spacing w:line="360" w:lineRule="auto"/>
              <w:ind w:right="187"/>
              <w:rPr>
                <w:rFonts w:ascii="宋体" w:hAnsi="宋体"/>
                <w:sz w:val="24"/>
                <w:highlight w:val="none"/>
              </w:rPr>
            </w:pPr>
          </w:p>
        </w:tc>
        <w:tc>
          <w:tcPr>
            <w:tcW w:w="1487" w:type="dxa"/>
            <w:noWrap w:val="0"/>
            <w:vAlign w:val="top"/>
          </w:tcPr>
          <w:p w14:paraId="33B40372">
            <w:pPr>
              <w:tabs>
                <w:tab w:val="left" w:pos="720"/>
                <w:tab w:val="left" w:pos="1440"/>
                <w:tab w:val="left" w:pos="1620"/>
              </w:tabs>
              <w:spacing w:line="360" w:lineRule="auto"/>
              <w:ind w:right="187"/>
              <w:rPr>
                <w:rFonts w:ascii="宋体" w:hAnsi="宋体"/>
                <w:sz w:val="24"/>
                <w:highlight w:val="none"/>
              </w:rPr>
            </w:pPr>
          </w:p>
        </w:tc>
        <w:tc>
          <w:tcPr>
            <w:tcW w:w="1095" w:type="dxa"/>
            <w:noWrap w:val="0"/>
            <w:vAlign w:val="top"/>
          </w:tcPr>
          <w:p w14:paraId="575F6ADA">
            <w:pPr>
              <w:tabs>
                <w:tab w:val="left" w:pos="720"/>
                <w:tab w:val="left" w:pos="1440"/>
                <w:tab w:val="left" w:pos="1620"/>
              </w:tabs>
              <w:spacing w:line="360" w:lineRule="auto"/>
              <w:ind w:right="187"/>
              <w:rPr>
                <w:rFonts w:ascii="宋体" w:hAnsi="宋体"/>
                <w:sz w:val="24"/>
                <w:highlight w:val="none"/>
              </w:rPr>
            </w:pPr>
          </w:p>
        </w:tc>
        <w:tc>
          <w:tcPr>
            <w:tcW w:w="1040" w:type="dxa"/>
            <w:noWrap w:val="0"/>
            <w:vAlign w:val="top"/>
          </w:tcPr>
          <w:p w14:paraId="0835C960">
            <w:pPr>
              <w:tabs>
                <w:tab w:val="left" w:pos="720"/>
                <w:tab w:val="left" w:pos="1440"/>
                <w:tab w:val="left" w:pos="1620"/>
              </w:tabs>
              <w:spacing w:line="360" w:lineRule="auto"/>
              <w:ind w:right="187"/>
              <w:rPr>
                <w:rFonts w:ascii="宋体" w:hAnsi="宋体"/>
                <w:sz w:val="24"/>
                <w:highlight w:val="none"/>
              </w:rPr>
            </w:pPr>
          </w:p>
        </w:tc>
        <w:tc>
          <w:tcPr>
            <w:tcW w:w="1131" w:type="dxa"/>
            <w:noWrap w:val="0"/>
            <w:vAlign w:val="top"/>
          </w:tcPr>
          <w:p w14:paraId="608A0315">
            <w:pPr>
              <w:tabs>
                <w:tab w:val="left" w:pos="720"/>
                <w:tab w:val="left" w:pos="1440"/>
                <w:tab w:val="left" w:pos="1620"/>
              </w:tabs>
              <w:spacing w:line="360" w:lineRule="auto"/>
              <w:ind w:right="187"/>
              <w:rPr>
                <w:rFonts w:ascii="宋体" w:hAnsi="宋体"/>
                <w:sz w:val="24"/>
                <w:highlight w:val="none"/>
              </w:rPr>
            </w:pPr>
          </w:p>
        </w:tc>
        <w:tc>
          <w:tcPr>
            <w:tcW w:w="1234" w:type="dxa"/>
            <w:noWrap w:val="0"/>
            <w:vAlign w:val="top"/>
          </w:tcPr>
          <w:p w14:paraId="3FE89DF6">
            <w:pPr>
              <w:tabs>
                <w:tab w:val="left" w:pos="720"/>
                <w:tab w:val="left" w:pos="1440"/>
                <w:tab w:val="left" w:pos="1620"/>
              </w:tabs>
              <w:spacing w:line="360" w:lineRule="auto"/>
              <w:ind w:right="187"/>
              <w:rPr>
                <w:rFonts w:ascii="宋体" w:hAnsi="宋体"/>
                <w:sz w:val="24"/>
                <w:highlight w:val="none"/>
              </w:rPr>
            </w:pPr>
          </w:p>
        </w:tc>
      </w:tr>
      <w:tr w14:paraId="3AA8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671" w:type="dxa"/>
            <w:noWrap w:val="0"/>
            <w:vAlign w:val="top"/>
          </w:tcPr>
          <w:p w14:paraId="07A48B99">
            <w:pPr>
              <w:tabs>
                <w:tab w:val="left" w:pos="720"/>
                <w:tab w:val="left" w:pos="1440"/>
                <w:tab w:val="left" w:pos="1620"/>
              </w:tabs>
              <w:spacing w:line="360" w:lineRule="auto"/>
              <w:ind w:right="187"/>
              <w:rPr>
                <w:rFonts w:ascii="宋体" w:hAnsi="宋体"/>
                <w:sz w:val="24"/>
                <w:highlight w:val="none"/>
              </w:rPr>
            </w:pPr>
          </w:p>
        </w:tc>
        <w:tc>
          <w:tcPr>
            <w:tcW w:w="1578" w:type="dxa"/>
            <w:noWrap w:val="0"/>
            <w:vAlign w:val="top"/>
          </w:tcPr>
          <w:p w14:paraId="6D5C2DEA">
            <w:pPr>
              <w:tabs>
                <w:tab w:val="left" w:pos="720"/>
                <w:tab w:val="left" w:pos="1440"/>
                <w:tab w:val="left" w:pos="1620"/>
              </w:tabs>
              <w:spacing w:line="360" w:lineRule="auto"/>
              <w:ind w:right="187"/>
              <w:rPr>
                <w:rFonts w:ascii="宋体" w:hAnsi="宋体"/>
                <w:sz w:val="24"/>
                <w:highlight w:val="none"/>
              </w:rPr>
            </w:pPr>
          </w:p>
        </w:tc>
        <w:tc>
          <w:tcPr>
            <w:tcW w:w="1487" w:type="dxa"/>
            <w:noWrap w:val="0"/>
            <w:vAlign w:val="top"/>
          </w:tcPr>
          <w:p w14:paraId="2F6F1505">
            <w:pPr>
              <w:tabs>
                <w:tab w:val="left" w:pos="720"/>
                <w:tab w:val="left" w:pos="1440"/>
                <w:tab w:val="left" w:pos="1620"/>
              </w:tabs>
              <w:spacing w:line="360" w:lineRule="auto"/>
              <w:ind w:right="187"/>
              <w:rPr>
                <w:rFonts w:ascii="宋体" w:hAnsi="宋体"/>
                <w:sz w:val="24"/>
                <w:highlight w:val="none"/>
              </w:rPr>
            </w:pPr>
          </w:p>
        </w:tc>
        <w:tc>
          <w:tcPr>
            <w:tcW w:w="1095" w:type="dxa"/>
            <w:noWrap w:val="0"/>
            <w:vAlign w:val="top"/>
          </w:tcPr>
          <w:p w14:paraId="497FF30E">
            <w:pPr>
              <w:tabs>
                <w:tab w:val="left" w:pos="720"/>
                <w:tab w:val="left" w:pos="1440"/>
                <w:tab w:val="left" w:pos="1620"/>
              </w:tabs>
              <w:spacing w:line="360" w:lineRule="auto"/>
              <w:ind w:right="187"/>
              <w:rPr>
                <w:rFonts w:ascii="宋体" w:hAnsi="宋体"/>
                <w:sz w:val="24"/>
                <w:highlight w:val="none"/>
              </w:rPr>
            </w:pPr>
          </w:p>
        </w:tc>
        <w:tc>
          <w:tcPr>
            <w:tcW w:w="1040" w:type="dxa"/>
            <w:noWrap w:val="0"/>
            <w:vAlign w:val="top"/>
          </w:tcPr>
          <w:p w14:paraId="1C4E338A">
            <w:pPr>
              <w:tabs>
                <w:tab w:val="left" w:pos="720"/>
                <w:tab w:val="left" w:pos="1440"/>
                <w:tab w:val="left" w:pos="1620"/>
              </w:tabs>
              <w:spacing w:line="360" w:lineRule="auto"/>
              <w:ind w:right="187"/>
              <w:rPr>
                <w:rFonts w:ascii="宋体" w:hAnsi="宋体"/>
                <w:sz w:val="24"/>
                <w:highlight w:val="none"/>
              </w:rPr>
            </w:pPr>
          </w:p>
        </w:tc>
        <w:tc>
          <w:tcPr>
            <w:tcW w:w="1131" w:type="dxa"/>
            <w:noWrap w:val="0"/>
            <w:vAlign w:val="top"/>
          </w:tcPr>
          <w:p w14:paraId="38FD76AE">
            <w:pPr>
              <w:tabs>
                <w:tab w:val="left" w:pos="720"/>
                <w:tab w:val="left" w:pos="1440"/>
                <w:tab w:val="left" w:pos="1620"/>
              </w:tabs>
              <w:spacing w:line="360" w:lineRule="auto"/>
              <w:ind w:right="187"/>
              <w:rPr>
                <w:rFonts w:ascii="宋体" w:hAnsi="宋体"/>
                <w:sz w:val="24"/>
                <w:highlight w:val="none"/>
              </w:rPr>
            </w:pPr>
          </w:p>
        </w:tc>
        <w:tc>
          <w:tcPr>
            <w:tcW w:w="1234" w:type="dxa"/>
            <w:noWrap w:val="0"/>
            <w:vAlign w:val="top"/>
          </w:tcPr>
          <w:p w14:paraId="2C653E27">
            <w:pPr>
              <w:tabs>
                <w:tab w:val="left" w:pos="720"/>
                <w:tab w:val="left" w:pos="1440"/>
                <w:tab w:val="left" w:pos="1620"/>
              </w:tabs>
              <w:spacing w:line="360" w:lineRule="auto"/>
              <w:ind w:right="187"/>
              <w:rPr>
                <w:rFonts w:ascii="宋体" w:hAnsi="宋体"/>
                <w:sz w:val="24"/>
                <w:highlight w:val="none"/>
              </w:rPr>
            </w:pPr>
          </w:p>
        </w:tc>
      </w:tr>
      <w:tr w14:paraId="622A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671" w:type="dxa"/>
            <w:noWrap w:val="0"/>
            <w:vAlign w:val="top"/>
          </w:tcPr>
          <w:p w14:paraId="23AED80D">
            <w:pPr>
              <w:tabs>
                <w:tab w:val="left" w:pos="720"/>
                <w:tab w:val="left" w:pos="1440"/>
                <w:tab w:val="left" w:pos="1620"/>
              </w:tabs>
              <w:spacing w:line="360" w:lineRule="auto"/>
              <w:ind w:right="187"/>
              <w:rPr>
                <w:rFonts w:ascii="宋体" w:hAnsi="宋体"/>
                <w:sz w:val="24"/>
                <w:highlight w:val="none"/>
              </w:rPr>
            </w:pPr>
          </w:p>
        </w:tc>
        <w:tc>
          <w:tcPr>
            <w:tcW w:w="1578" w:type="dxa"/>
            <w:noWrap w:val="0"/>
            <w:vAlign w:val="top"/>
          </w:tcPr>
          <w:p w14:paraId="5E111C0E">
            <w:pPr>
              <w:tabs>
                <w:tab w:val="left" w:pos="720"/>
                <w:tab w:val="left" w:pos="1440"/>
                <w:tab w:val="left" w:pos="1620"/>
              </w:tabs>
              <w:spacing w:line="360" w:lineRule="auto"/>
              <w:ind w:right="187"/>
              <w:rPr>
                <w:rFonts w:ascii="宋体" w:hAnsi="宋体"/>
                <w:sz w:val="24"/>
                <w:highlight w:val="none"/>
              </w:rPr>
            </w:pPr>
          </w:p>
        </w:tc>
        <w:tc>
          <w:tcPr>
            <w:tcW w:w="1487" w:type="dxa"/>
            <w:noWrap w:val="0"/>
            <w:vAlign w:val="top"/>
          </w:tcPr>
          <w:p w14:paraId="6F656480">
            <w:pPr>
              <w:tabs>
                <w:tab w:val="left" w:pos="720"/>
                <w:tab w:val="left" w:pos="1440"/>
                <w:tab w:val="left" w:pos="1620"/>
              </w:tabs>
              <w:spacing w:line="360" w:lineRule="auto"/>
              <w:ind w:right="187"/>
              <w:rPr>
                <w:rFonts w:ascii="宋体" w:hAnsi="宋体"/>
                <w:sz w:val="24"/>
                <w:highlight w:val="none"/>
              </w:rPr>
            </w:pPr>
          </w:p>
        </w:tc>
        <w:tc>
          <w:tcPr>
            <w:tcW w:w="1095" w:type="dxa"/>
            <w:noWrap w:val="0"/>
            <w:vAlign w:val="top"/>
          </w:tcPr>
          <w:p w14:paraId="131E9655">
            <w:pPr>
              <w:tabs>
                <w:tab w:val="left" w:pos="720"/>
                <w:tab w:val="left" w:pos="1440"/>
                <w:tab w:val="left" w:pos="1620"/>
              </w:tabs>
              <w:spacing w:line="360" w:lineRule="auto"/>
              <w:ind w:right="187"/>
              <w:rPr>
                <w:rFonts w:ascii="宋体" w:hAnsi="宋体"/>
                <w:sz w:val="24"/>
                <w:highlight w:val="none"/>
              </w:rPr>
            </w:pPr>
          </w:p>
        </w:tc>
        <w:tc>
          <w:tcPr>
            <w:tcW w:w="1040" w:type="dxa"/>
            <w:noWrap w:val="0"/>
            <w:vAlign w:val="top"/>
          </w:tcPr>
          <w:p w14:paraId="0C8730AA">
            <w:pPr>
              <w:tabs>
                <w:tab w:val="left" w:pos="720"/>
                <w:tab w:val="left" w:pos="1440"/>
                <w:tab w:val="left" w:pos="1620"/>
              </w:tabs>
              <w:spacing w:line="360" w:lineRule="auto"/>
              <w:ind w:right="187"/>
              <w:rPr>
                <w:rFonts w:ascii="宋体" w:hAnsi="宋体"/>
                <w:sz w:val="24"/>
                <w:highlight w:val="none"/>
              </w:rPr>
            </w:pPr>
          </w:p>
        </w:tc>
        <w:tc>
          <w:tcPr>
            <w:tcW w:w="1131" w:type="dxa"/>
            <w:noWrap w:val="0"/>
            <w:vAlign w:val="top"/>
          </w:tcPr>
          <w:p w14:paraId="049BEB09">
            <w:pPr>
              <w:tabs>
                <w:tab w:val="left" w:pos="720"/>
                <w:tab w:val="left" w:pos="1440"/>
                <w:tab w:val="left" w:pos="1620"/>
              </w:tabs>
              <w:spacing w:line="360" w:lineRule="auto"/>
              <w:ind w:right="187"/>
              <w:rPr>
                <w:rFonts w:ascii="宋体" w:hAnsi="宋体"/>
                <w:sz w:val="24"/>
                <w:highlight w:val="none"/>
              </w:rPr>
            </w:pPr>
          </w:p>
        </w:tc>
        <w:tc>
          <w:tcPr>
            <w:tcW w:w="1234" w:type="dxa"/>
            <w:noWrap w:val="0"/>
            <w:vAlign w:val="top"/>
          </w:tcPr>
          <w:p w14:paraId="1D99FB9A">
            <w:pPr>
              <w:tabs>
                <w:tab w:val="left" w:pos="720"/>
                <w:tab w:val="left" w:pos="1440"/>
                <w:tab w:val="left" w:pos="1620"/>
              </w:tabs>
              <w:spacing w:line="360" w:lineRule="auto"/>
              <w:ind w:right="187"/>
              <w:rPr>
                <w:rFonts w:ascii="宋体" w:hAnsi="宋体"/>
                <w:sz w:val="24"/>
                <w:highlight w:val="none"/>
              </w:rPr>
            </w:pPr>
          </w:p>
        </w:tc>
      </w:tr>
      <w:tr w14:paraId="1781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671" w:type="dxa"/>
            <w:noWrap w:val="0"/>
            <w:vAlign w:val="top"/>
          </w:tcPr>
          <w:p w14:paraId="500FE92A">
            <w:pPr>
              <w:tabs>
                <w:tab w:val="left" w:pos="720"/>
                <w:tab w:val="left" w:pos="1440"/>
                <w:tab w:val="left" w:pos="1620"/>
              </w:tabs>
              <w:spacing w:line="360" w:lineRule="auto"/>
              <w:ind w:right="187"/>
              <w:rPr>
                <w:rFonts w:ascii="宋体" w:hAnsi="宋体"/>
                <w:sz w:val="24"/>
                <w:highlight w:val="none"/>
              </w:rPr>
            </w:pPr>
          </w:p>
        </w:tc>
        <w:tc>
          <w:tcPr>
            <w:tcW w:w="1578" w:type="dxa"/>
            <w:noWrap w:val="0"/>
            <w:vAlign w:val="top"/>
          </w:tcPr>
          <w:p w14:paraId="753018D7">
            <w:pPr>
              <w:tabs>
                <w:tab w:val="left" w:pos="720"/>
                <w:tab w:val="left" w:pos="1440"/>
                <w:tab w:val="left" w:pos="1620"/>
              </w:tabs>
              <w:spacing w:line="360" w:lineRule="auto"/>
              <w:ind w:right="187"/>
              <w:rPr>
                <w:rFonts w:ascii="宋体" w:hAnsi="宋体"/>
                <w:sz w:val="24"/>
                <w:highlight w:val="none"/>
              </w:rPr>
            </w:pPr>
          </w:p>
        </w:tc>
        <w:tc>
          <w:tcPr>
            <w:tcW w:w="1487" w:type="dxa"/>
            <w:noWrap w:val="0"/>
            <w:vAlign w:val="top"/>
          </w:tcPr>
          <w:p w14:paraId="1E0551FC">
            <w:pPr>
              <w:tabs>
                <w:tab w:val="left" w:pos="720"/>
                <w:tab w:val="left" w:pos="1440"/>
                <w:tab w:val="left" w:pos="1620"/>
              </w:tabs>
              <w:spacing w:line="360" w:lineRule="auto"/>
              <w:ind w:right="187"/>
              <w:rPr>
                <w:rFonts w:ascii="宋体" w:hAnsi="宋体"/>
                <w:sz w:val="24"/>
                <w:highlight w:val="none"/>
              </w:rPr>
            </w:pPr>
          </w:p>
        </w:tc>
        <w:tc>
          <w:tcPr>
            <w:tcW w:w="1095" w:type="dxa"/>
            <w:noWrap w:val="0"/>
            <w:vAlign w:val="top"/>
          </w:tcPr>
          <w:p w14:paraId="175BE6F1">
            <w:pPr>
              <w:tabs>
                <w:tab w:val="left" w:pos="720"/>
                <w:tab w:val="left" w:pos="1440"/>
                <w:tab w:val="left" w:pos="1620"/>
              </w:tabs>
              <w:spacing w:line="360" w:lineRule="auto"/>
              <w:ind w:right="187"/>
              <w:rPr>
                <w:rFonts w:ascii="宋体" w:hAnsi="宋体"/>
                <w:sz w:val="24"/>
                <w:highlight w:val="none"/>
              </w:rPr>
            </w:pPr>
          </w:p>
        </w:tc>
        <w:tc>
          <w:tcPr>
            <w:tcW w:w="1040" w:type="dxa"/>
            <w:noWrap w:val="0"/>
            <w:vAlign w:val="top"/>
          </w:tcPr>
          <w:p w14:paraId="4BA9D657">
            <w:pPr>
              <w:tabs>
                <w:tab w:val="left" w:pos="720"/>
                <w:tab w:val="left" w:pos="1440"/>
                <w:tab w:val="left" w:pos="1620"/>
              </w:tabs>
              <w:spacing w:line="360" w:lineRule="auto"/>
              <w:ind w:right="187"/>
              <w:rPr>
                <w:rFonts w:ascii="宋体" w:hAnsi="宋体"/>
                <w:sz w:val="24"/>
                <w:highlight w:val="none"/>
              </w:rPr>
            </w:pPr>
          </w:p>
        </w:tc>
        <w:tc>
          <w:tcPr>
            <w:tcW w:w="1131" w:type="dxa"/>
            <w:noWrap w:val="0"/>
            <w:vAlign w:val="top"/>
          </w:tcPr>
          <w:p w14:paraId="1ABE3F75">
            <w:pPr>
              <w:tabs>
                <w:tab w:val="left" w:pos="720"/>
                <w:tab w:val="left" w:pos="1440"/>
                <w:tab w:val="left" w:pos="1620"/>
              </w:tabs>
              <w:spacing w:line="360" w:lineRule="auto"/>
              <w:ind w:right="187"/>
              <w:rPr>
                <w:rFonts w:ascii="宋体" w:hAnsi="宋体"/>
                <w:sz w:val="24"/>
                <w:highlight w:val="none"/>
              </w:rPr>
            </w:pPr>
          </w:p>
        </w:tc>
        <w:tc>
          <w:tcPr>
            <w:tcW w:w="1234" w:type="dxa"/>
            <w:noWrap w:val="0"/>
            <w:vAlign w:val="top"/>
          </w:tcPr>
          <w:p w14:paraId="4A5249D7">
            <w:pPr>
              <w:tabs>
                <w:tab w:val="left" w:pos="720"/>
                <w:tab w:val="left" w:pos="1440"/>
                <w:tab w:val="left" w:pos="1620"/>
              </w:tabs>
              <w:spacing w:line="360" w:lineRule="auto"/>
              <w:ind w:right="187"/>
              <w:rPr>
                <w:rFonts w:ascii="宋体" w:hAnsi="宋体"/>
                <w:sz w:val="24"/>
                <w:highlight w:val="none"/>
              </w:rPr>
            </w:pPr>
          </w:p>
        </w:tc>
      </w:tr>
      <w:tr w14:paraId="5076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671" w:type="dxa"/>
            <w:noWrap w:val="0"/>
            <w:vAlign w:val="top"/>
          </w:tcPr>
          <w:p w14:paraId="37771619">
            <w:pPr>
              <w:tabs>
                <w:tab w:val="left" w:pos="720"/>
                <w:tab w:val="left" w:pos="1440"/>
                <w:tab w:val="left" w:pos="1620"/>
              </w:tabs>
              <w:spacing w:line="360" w:lineRule="auto"/>
              <w:ind w:right="187"/>
              <w:rPr>
                <w:rFonts w:ascii="宋体" w:hAnsi="宋体"/>
                <w:sz w:val="24"/>
                <w:highlight w:val="none"/>
              </w:rPr>
            </w:pPr>
          </w:p>
        </w:tc>
        <w:tc>
          <w:tcPr>
            <w:tcW w:w="1578" w:type="dxa"/>
            <w:noWrap w:val="0"/>
            <w:vAlign w:val="top"/>
          </w:tcPr>
          <w:p w14:paraId="22F4BC63">
            <w:pPr>
              <w:tabs>
                <w:tab w:val="left" w:pos="720"/>
                <w:tab w:val="left" w:pos="1440"/>
                <w:tab w:val="left" w:pos="1620"/>
              </w:tabs>
              <w:spacing w:line="360" w:lineRule="auto"/>
              <w:ind w:right="187"/>
              <w:rPr>
                <w:rFonts w:ascii="宋体" w:hAnsi="宋体"/>
                <w:sz w:val="24"/>
                <w:highlight w:val="none"/>
              </w:rPr>
            </w:pPr>
          </w:p>
        </w:tc>
        <w:tc>
          <w:tcPr>
            <w:tcW w:w="1487" w:type="dxa"/>
            <w:noWrap w:val="0"/>
            <w:vAlign w:val="top"/>
          </w:tcPr>
          <w:p w14:paraId="05D78E64">
            <w:pPr>
              <w:tabs>
                <w:tab w:val="left" w:pos="720"/>
                <w:tab w:val="left" w:pos="1440"/>
                <w:tab w:val="left" w:pos="1620"/>
              </w:tabs>
              <w:spacing w:line="360" w:lineRule="auto"/>
              <w:ind w:right="187"/>
              <w:rPr>
                <w:rFonts w:ascii="宋体" w:hAnsi="宋体"/>
                <w:sz w:val="24"/>
                <w:highlight w:val="none"/>
              </w:rPr>
            </w:pPr>
          </w:p>
        </w:tc>
        <w:tc>
          <w:tcPr>
            <w:tcW w:w="1095" w:type="dxa"/>
            <w:noWrap w:val="0"/>
            <w:vAlign w:val="top"/>
          </w:tcPr>
          <w:p w14:paraId="00F38EDC">
            <w:pPr>
              <w:tabs>
                <w:tab w:val="left" w:pos="720"/>
                <w:tab w:val="left" w:pos="1440"/>
                <w:tab w:val="left" w:pos="1620"/>
              </w:tabs>
              <w:spacing w:line="360" w:lineRule="auto"/>
              <w:ind w:right="187"/>
              <w:rPr>
                <w:rFonts w:ascii="宋体" w:hAnsi="宋体"/>
                <w:sz w:val="24"/>
                <w:highlight w:val="none"/>
              </w:rPr>
            </w:pPr>
          </w:p>
        </w:tc>
        <w:tc>
          <w:tcPr>
            <w:tcW w:w="1040" w:type="dxa"/>
            <w:noWrap w:val="0"/>
            <w:vAlign w:val="top"/>
          </w:tcPr>
          <w:p w14:paraId="70C28375">
            <w:pPr>
              <w:tabs>
                <w:tab w:val="left" w:pos="720"/>
                <w:tab w:val="left" w:pos="1440"/>
                <w:tab w:val="left" w:pos="1620"/>
              </w:tabs>
              <w:spacing w:line="360" w:lineRule="auto"/>
              <w:ind w:right="187"/>
              <w:rPr>
                <w:rFonts w:ascii="宋体" w:hAnsi="宋体"/>
                <w:sz w:val="24"/>
                <w:highlight w:val="none"/>
              </w:rPr>
            </w:pPr>
          </w:p>
        </w:tc>
        <w:tc>
          <w:tcPr>
            <w:tcW w:w="1131" w:type="dxa"/>
            <w:noWrap w:val="0"/>
            <w:vAlign w:val="top"/>
          </w:tcPr>
          <w:p w14:paraId="381CCB58">
            <w:pPr>
              <w:tabs>
                <w:tab w:val="left" w:pos="720"/>
                <w:tab w:val="left" w:pos="1440"/>
                <w:tab w:val="left" w:pos="1620"/>
              </w:tabs>
              <w:spacing w:line="360" w:lineRule="auto"/>
              <w:ind w:right="187"/>
              <w:rPr>
                <w:rFonts w:ascii="宋体" w:hAnsi="宋体"/>
                <w:sz w:val="24"/>
                <w:highlight w:val="none"/>
              </w:rPr>
            </w:pPr>
          </w:p>
        </w:tc>
        <w:tc>
          <w:tcPr>
            <w:tcW w:w="1234" w:type="dxa"/>
            <w:noWrap w:val="0"/>
            <w:vAlign w:val="top"/>
          </w:tcPr>
          <w:p w14:paraId="74D2809B">
            <w:pPr>
              <w:tabs>
                <w:tab w:val="left" w:pos="720"/>
                <w:tab w:val="left" w:pos="1440"/>
                <w:tab w:val="left" w:pos="1620"/>
              </w:tabs>
              <w:spacing w:line="360" w:lineRule="auto"/>
              <w:ind w:right="187"/>
              <w:rPr>
                <w:rFonts w:ascii="宋体" w:hAnsi="宋体"/>
                <w:sz w:val="24"/>
                <w:highlight w:val="none"/>
              </w:rPr>
            </w:pPr>
          </w:p>
        </w:tc>
      </w:tr>
      <w:tr w14:paraId="02FF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671" w:type="dxa"/>
            <w:noWrap w:val="0"/>
            <w:vAlign w:val="top"/>
          </w:tcPr>
          <w:p w14:paraId="129C5BA8">
            <w:pPr>
              <w:tabs>
                <w:tab w:val="left" w:pos="720"/>
                <w:tab w:val="left" w:pos="1440"/>
                <w:tab w:val="left" w:pos="1620"/>
              </w:tabs>
              <w:spacing w:line="360" w:lineRule="auto"/>
              <w:ind w:right="187"/>
              <w:rPr>
                <w:rFonts w:ascii="宋体" w:hAnsi="宋体"/>
                <w:sz w:val="24"/>
                <w:highlight w:val="none"/>
              </w:rPr>
            </w:pPr>
          </w:p>
        </w:tc>
        <w:tc>
          <w:tcPr>
            <w:tcW w:w="1578" w:type="dxa"/>
            <w:noWrap w:val="0"/>
            <w:vAlign w:val="top"/>
          </w:tcPr>
          <w:p w14:paraId="5B99EFF7">
            <w:pPr>
              <w:tabs>
                <w:tab w:val="left" w:pos="720"/>
                <w:tab w:val="left" w:pos="1440"/>
                <w:tab w:val="left" w:pos="1620"/>
              </w:tabs>
              <w:spacing w:line="360" w:lineRule="auto"/>
              <w:ind w:right="187"/>
              <w:rPr>
                <w:rFonts w:ascii="宋体" w:hAnsi="宋体"/>
                <w:sz w:val="24"/>
                <w:highlight w:val="none"/>
              </w:rPr>
            </w:pPr>
          </w:p>
        </w:tc>
        <w:tc>
          <w:tcPr>
            <w:tcW w:w="1487" w:type="dxa"/>
            <w:noWrap w:val="0"/>
            <w:vAlign w:val="top"/>
          </w:tcPr>
          <w:p w14:paraId="710B2C9B">
            <w:pPr>
              <w:tabs>
                <w:tab w:val="left" w:pos="720"/>
                <w:tab w:val="left" w:pos="1440"/>
                <w:tab w:val="left" w:pos="1620"/>
              </w:tabs>
              <w:spacing w:line="360" w:lineRule="auto"/>
              <w:ind w:right="187"/>
              <w:rPr>
                <w:rFonts w:ascii="宋体" w:hAnsi="宋体"/>
                <w:sz w:val="24"/>
                <w:highlight w:val="none"/>
              </w:rPr>
            </w:pPr>
          </w:p>
        </w:tc>
        <w:tc>
          <w:tcPr>
            <w:tcW w:w="1095" w:type="dxa"/>
            <w:noWrap w:val="0"/>
            <w:vAlign w:val="top"/>
          </w:tcPr>
          <w:p w14:paraId="5AF69D31">
            <w:pPr>
              <w:tabs>
                <w:tab w:val="left" w:pos="720"/>
                <w:tab w:val="left" w:pos="1440"/>
                <w:tab w:val="left" w:pos="1620"/>
              </w:tabs>
              <w:spacing w:line="360" w:lineRule="auto"/>
              <w:ind w:right="187"/>
              <w:rPr>
                <w:rFonts w:ascii="宋体" w:hAnsi="宋体"/>
                <w:sz w:val="24"/>
                <w:highlight w:val="none"/>
              </w:rPr>
            </w:pPr>
          </w:p>
        </w:tc>
        <w:tc>
          <w:tcPr>
            <w:tcW w:w="1040" w:type="dxa"/>
            <w:noWrap w:val="0"/>
            <w:vAlign w:val="top"/>
          </w:tcPr>
          <w:p w14:paraId="6AF6E266">
            <w:pPr>
              <w:tabs>
                <w:tab w:val="left" w:pos="720"/>
                <w:tab w:val="left" w:pos="1440"/>
                <w:tab w:val="left" w:pos="1620"/>
              </w:tabs>
              <w:spacing w:line="360" w:lineRule="auto"/>
              <w:ind w:right="187"/>
              <w:rPr>
                <w:rFonts w:ascii="宋体" w:hAnsi="宋体"/>
                <w:sz w:val="24"/>
                <w:highlight w:val="none"/>
              </w:rPr>
            </w:pPr>
          </w:p>
        </w:tc>
        <w:tc>
          <w:tcPr>
            <w:tcW w:w="1131" w:type="dxa"/>
            <w:noWrap w:val="0"/>
            <w:vAlign w:val="top"/>
          </w:tcPr>
          <w:p w14:paraId="6C20F0D2">
            <w:pPr>
              <w:tabs>
                <w:tab w:val="left" w:pos="720"/>
                <w:tab w:val="left" w:pos="1440"/>
                <w:tab w:val="left" w:pos="1620"/>
              </w:tabs>
              <w:spacing w:line="360" w:lineRule="auto"/>
              <w:ind w:right="187"/>
              <w:rPr>
                <w:rFonts w:ascii="宋体" w:hAnsi="宋体"/>
                <w:sz w:val="24"/>
                <w:highlight w:val="none"/>
              </w:rPr>
            </w:pPr>
          </w:p>
        </w:tc>
        <w:tc>
          <w:tcPr>
            <w:tcW w:w="1234" w:type="dxa"/>
            <w:noWrap w:val="0"/>
            <w:vAlign w:val="top"/>
          </w:tcPr>
          <w:p w14:paraId="4380C5AC">
            <w:pPr>
              <w:tabs>
                <w:tab w:val="left" w:pos="720"/>
                <w:tab w:val="left" w:pos="1440"/>
                <w:tab w:val="left" w:pos="1620"/>
              </w:tabs>
              <w:spacing w:line="360" w:lineRule="auto"/>
              <w:ind w:right="187"/>
              <w:rPr>
                <w:rFonts w:ascii="宋体" w:hAnsi="宋体"/>
                <w:sz w:val="24"/>
                <w:highlight w:val="none"/>
              </w:rPr>
            </w:pPr>
          </w:p>
        </w:tc>
      </w:tr>
      <w:tr w14:paraId="5F28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671" w:type="dxa"/>
            <w:noWrap w:val="0"/>
            <w:vAlign w:val="top"/>
          </w:tcPr>
          <w:p w14:paraId="193A0B36">
            <w:pPr>
              <w:tabs>
                <w:tab w:val="left" w:pos="720"/>
                <w:tab w:val="left" w:pos="1440"/>
                <w:tab w:val="left" w:pos="1620"/>
              </w:tabs>
              <w:spacing w:line="360" w:lineRule="auto"/>
              <w:ind w:right="187"/>
              <w:rPr>
                <w:rFonts w:ascii="宋体" w:hAnsi="宋体"/>
                <w:sz w:val="24"/>
                <w:highlight w:val="none"/>
              </w:rPr>
            </w:pPr>
          </w:p>
        </w:tc>
        <w:tc>
          <w:tcPr>
            <w:tcW w:w="1578" w:type="dxa"/>
            <w:noWrap w:val="0"/>
            <w:vAlign w:val="top"/>
          </w:tcPr>
          <w:p w14:paraId="4C39F785">
            <w:pPr>
              <w:tabs>
                <w:tab w:val="left" w:pos="720"/>
                <w:tab w:val="left" w:pos="1440"/>
                <w:tab w:val="left" w:pos="1620"/>
              </w:tabs>
              <w:spacing w:line="360" w:lineRule="auto"/>
              <w:ind w:right="187"/>
              <w:rPr>
                <w:rFonts w:ascii="宋体" w:hAnsi="宋体"/>
                <w:sz w:val="24"/>
                <w:highlight w:val="none"/>
              </w:rPr>
            </w:pPr>
          </w:p>
        </w:tc>
        <w:tc>
          <w:tcPr>
            <w:tcW w:w="1487" w:type="dxa"/>
            <w:noWrap w:val="0"/>
            <w:vAlign w:val="top"/>
          </w:tcPr>
          <w:p w14:paraId="29819DD5">
            <w:pPr>
              <w:tabs>
                <w:tab w:val="left" w:pos="720"/>
                <w:tab w:val="left" w:pos="1440"/>
                <w:tab w:val="left" w:pos="1620"/>
              </w:tabs>
              <w:spacing w:line="360" w:lineRule="auto"/>
              <w:ind w:right="187"/>
              <w:rPr>
                <w:rFonts w:ascii="宋体" w:hAnsi="宋体"/>
                <w:sz w:val="24"/>
                <w:highlight w:val="none"/>
              </w:rPr>
            </w:pPr>
          </w:p>
        </w:tc>
        <w:tc>
          <w:tcPr>
            <w:tcW w:w="1095" w:type="dxa"/>
            <w:noWrap w:val="0"/>
            <w:vAlign w:val="top"/>
          </w:tcPr>
          <w:p w14:paraId="7211A4AF">
            <w:pPr>
              <w:tabs>
                <w:tab w:val="left" w:pos="720"/>
                <w:tab w:val="left" w:pos="1440"/>
                <w:tab w:val="left" w:pos="1620"/>
              </w:tabs>
              <w:spacing w:line="360" w:lineRule="auto"/>
              <w:ind w:right="187"/>
              <w:rPr>
                <w:rFonts w:ascii="宋体" w:hAnsi="宋体"/>
                <w:sz w:val="24"/>
                <w:highlight w:val="none"/>
              </w:rPr>
            </w:pPr>
          </w:p>
        </w:tc>
        <w:tc>
          <w:tcPr>
            <w:tcW w:w="1040" w:type="dxa"/>
            <w:noWrap w:val="0"/>
            <w:vAlign w:val="top"/>
          </w:tcPr>
          <w:p w14:paraId="7D32D867">
            <w:pPr>
              <w:tabs>
                <w:tab w:val="left" w:pos="720"/>
                <w:tab w:val="left" w:pos="1440"/>
                <w:tab w:val="left" w:pos="1620"/>
              </w:tabs>
              <w:spacing w:line="360" w:lineRule="auto"/>
              <w:ind w:right="187"/>
              <w:rPr>
                <w:rFonts w:ascii="宋体" w:hAnsi="宋体"/>
                <w:sz w:val="24"/>
                <w:highlight w:val="none"/>
              </w:rPr>
            </w:pPr>
          </w:p>
        </w:tc>
        <w:tc>
          <w:tcPr>
            <w:tcW w:w="1131" w:type="dxa"/>
            <w:noWrap w:val="0"/>
            <w:vAlign w:val="top"/>
          </w:tcPr>
          <w:p w14:paraId="2AE150E8">
            <w:pPr>
              <w:tabs>
                <w:tab w:val="left" w:pos="720"/>
                <w:tab w:val="left" w:pos="1440"/>
                <w:tab w:val="left" w:pos="1620"/>
              </w:tabs>
              <w:spacing w:line="360" w:lineRule="auto"/>
              <w:ind w:right="187"/>
              <w:rPr>
                <w:rFonts w:ascii="宋体" w:hAnsi="宋体"/>
                <w:sz w:val="24"/>
                <w:highlight w:val="none"/>
              </w:rPr>
            </w:pPr>
          </w:p>
        </w:tc>
        <w:tc>
          <w:tcPr>
            <w:tcW w:w="1234" w:type="dxa"/>
            <w:noWrap w:val="0"/>
            <w:vAlign w:val="top"/>
          </w:tcPr>
          <w:p w14:paraId="04D5DC0F">
            <w:pPr>
              <w:tabs>
                <w:tab w:val="left" w:pos="720"/>
                <w:tab w:val="left" w:pos="1440"/>
                <w:tab w:val="left" w:pos="1620"/>
              </w:tabs>
              <w:spacing w:line="360" w:lineRule="auto"/>
              <w:ind w:right="187"/>
              <w:rPr>
                <w:rFonts w:ascii="宋体" w:hAnsi="宋体"/>
                <w:sz w:val="24"/>
                <w:highlight w:val="none"/>
              </w:rPr>
            </w:pPr>
          </w:p>
        </w:tc>
      </w:tr>
      <w:tr w14:paraId="43A4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671" w:type="dxa"/>
            <w:noWrap w:val="0"/>
            <w:vAlign w:val="top"/>
          </w:tcPr>
          <w:p w14:paraId="754829CE">
            <w:pPr>
              <w:tabs>
                <w:tab w:val="left" w:pos="720"/>
                <w:tab w:val="left" w:pos="1440"/>
                <w:tab w:val="left" w:pos="1620"/>
              </w:tabs>
              <w:spacing w:line="360" w:lineRule="auto"/>
              <w:ind w:right="187"/>
              <w:rPr>
                <w:rFonts w:ascii="宋体" w:hAnsi="宋体"/>
                <w:sz w:val="24"/>
                <w:highlight w:val="none"/>
              </w:rPr>
            </w:pPr>
          </w:p>
        </w:tc>
        <w:tc>
          <w:tcPr>
            <w:tcW w:w="1578" w:type="dxa"/>
            <w:noWrap w:val="0"/>
            <w:vAlign w:val="top"/>
          </w:tcPr>
          <w:p w14:paraId="33709D2B">
            <w:pPr>
              <w:tabs>
                <w:tab w:val="left" w:pos="720"/>
                <w:tab w:val="left" w:pos="1440"/>
                <w:tab w:val="left" w:pos="1620"/>
              </w:tabs>
              <w:spacing w:line="360" w:lineRule="auto"/>
              <w:ind w:right="187"/>
              <w:rPr>
                <w:rFonts w:ascii="宋体" w:hAnsi="宋体"/>
                <w:sz w:val="24"/>
                <w:highlight w:val="none"/>
              </w:rPr>
            </w:pPr>
          </w:p>
        </w:tc>
        <w:tc>
          <w:tcPr>
            <w:tcW w:w="1487" w:type="dxa"/>
            <w:noWrap w:val="0"/>
            <w:vAlign w:val="top"/>
          </w:tcPr>
          <w:p w14:paraId="7F9ECBDC">
            <w:pPr>
              <w:tabs>
                <w:tab w:val="left" w:pos="720"/>
                <w:tab w:val="left" w:pos="1440"/>
                <w:tab w:val="left" w:pos="1620"/>
              </w:tabs>
              <w:spacing w:line="360" w:lineRule="auto"/>
              <w:ind w:right="187"/>
              <w:rPr>
                <w:rFonts w:ascii="宋体" w:hAnsi="宋体"/>
                <w:sz w:val="24"/>
                <w:highlight w:val="none"/>
              </w:rPr>
            </w:pPr>
          </w:p>
        </w:tc>
        <w:tc>
          <w:tcPr>
            <w:tcW w:w="1095" w:type="dxa"/>
            <w:noWrap w:val="0"/>
            <w:vAlign w:val="top"/>
          </w:tcPr>
          <w:p w14:paraId="607C2B61">
            <w:pPr>
              <w:tabs>
                <w:tab w:val="left" w:pos="720"/>
                <w:tab w:val="left" w:pos="1440"/>
                <w:tab w:val="left" w:pos="1620"/>
              </w:tabs>
              <w:spacing w:line="360" w:lineRule="auto"/>
              <w:ind w:right="187"/>
              <w:rPr>
                <w:rFonts w:ascii="宋体" w:hAnsi="宋体"/>
                <w:sz w:val="24"/>
                <w:highlight w:val="none"/>
              </w:rPr>
            </w:pPr>
          </w:p>
        </w:tc>
        <w:tc>
          <w:tcPr>
            <w:tcW w:w="1040" w:type="dxa"/>
            <w:noWrap w:val="0"/>
            <w:vAlign w:val="top"/>
          </w:tcPr>
          <w:p w14:paraId="6E206040">
            <w:pPr>
              <w:tabs>
                <w:tab w:val="left" w:pos="720"/>
                <w:tab w:val="left" w:pos="1440"/>
                <w:tab w:val="left" w:pos="1620"/>
              </w:tabs>
              <w:spacing w:line="360" w:lineRule="auto"/>
              <w:ind w:right="187"/>
              <w:rPr>
                <w:rFonts w:ascii="宋体" w:hAnsi="宋体"/>
                <w:sz w:val="24"/>
                <w:highlight w:val="none"/>
              </w:rPr>
            </w:pPr>
          </w:p>
        </w:tc>
        <w:tc>
          <w:tcPr>
            <w:tcW w:w="1131" w:type="dxa"/>
            <w:noWrap w:val="0"/>
            <w:vAlign w:val="top"/>
          </w:tcPr>
          <w:p w14:paraId="2E834123">
            <w:pPr>
              <w:tabs>
                <w:tab w:val="left" w:pos="720"/>
                <w:tab w:val="left" w:pos="1440"/>
                <w:tab w:val="left" w:pos="1620"/>
              </w:tabs>
              <w:spacing w:line="360" w:lineRule="auto"/>
              <w:ind w:right="187"/>
              <w:rPr>
                <w:rFonts w:ascii="宋体" w:hAnsi="宋体"/>
                <w:sz w:val="24"/>
                <w:highlight w:val="none"/>
              </w:rPr>
            </w:pPr>
          </w:p>
        </w:tc>
        <w:tc>
          <w:tcPr>
            <w:tcW w:w="1234" w:type="dxa"/>
            <w:noWrap w:val="0"/>
            <w:vAlign w:val="top"/>
          </w:tcPr>
          <w:p w14:paraId="3194F9FD">
            <w:pPr>
              <w:tabs>
                <w:tab w:val="left" w:pos="720"/>
                <w:tab w:val="left" w:pos="1440"/>
                <w:tab w:val="left" w:pos="1620"/>
              </w:tabs>
              <w:spacing w:line="360" w:lineRule="auto"/>
              <w:ind w:right="187"/>
              <w:rPr>
                <w:rFonts w:ascii="宋体" w:hAnsi="宋体"/>
                <w:sz w:val="24"/>
                <w:highlight w:val="none"/>
              </w:rPr>
            </w:pPr>
          </w:p>
        </w:tc>
      </w:tr>
      <w:tr w14:paraId="7595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671" w:type="dxa"/>
            <w:noWrap w:val="0"/>
            <w:vAlign w:val="top"/>
          </w:tcPr>
          <w:p w14:paraId="292D7C49">
            <w:pPr>
              <w:tabs>
                <w:tab w:val="left" w:pos="720"/>
                <w:tab w:val="left" w:pos="1440"/>
                <w:tab w:val="left" w:pos="1620"/>
              </w:tabs>
              <w:spacing w:line="360" w:lineRule="auto"/>
              <w:ind w:right="187"/>
              <w:rPr>
                <w:rFonts w:ascii="宋体" w:hAnsi="宋体"/>
                <w:sz w:val="24"/>
                <w:highlight w:val="none"/>
              </w:rPr>
            </w:pPr>
          </w:p>
        </w:tc>
        <w:tc>
          <w:tcPr>
            <w:tcW w:w="1578" w:type="dxa"/>
            <w:noWrap w:val="0"/>
            <w:vAlign w:val="top"/>
          </w:tcPr>
          <w:p w14:paraId="7FEFEA69">
            <w:pPr>
              <w:tabs>
                <w:tab w:val="left" w:pos="720"/>
                <w:tab w:val="left" w:pos="1440"/>
                <w:tab w:val="left" w:pos="1620"/>
              </w:tabs>
              <w:spacing w:line="360" w:lineRule="auto"/>
              <w:ind w:right="187"/>
              <w:rPr>
                <w:rFonts w:ascii="宋体" w:hAnsi="宋体"/>
                <w:sz w:val="24"/>
                <w:highlight w:val="none"/>
              </w:rPr>
            </w:pPr>
          </w:p>
        </w:tc>
        <w:tc>
          <w:tcPr>
            <w:tcW w:w="1487" w:type="dxa"/>
            <w:noWrap w:val="0"/>
            <w:vAlign w:val="top"/>
          </w:tcPr>
          <w:p w14:paraId="586D070F">
            <w:pPr>
              <w:tabs>
                <w:tab w:val="left" w:pos="720"/>
                <w:tab w:val="left" w:pos="1440"/>
                <w:tab w:val="left" w:pos="1620"/>
              </w:tabs>
              <w:spacing w:line="360" w:lineRule="auto"/>
              <w:ind w:right="187"/>
              <w:rPr>
                <w:rFonts w:ascii="宋体" w:hAnsi="宋体"/>
                <w:sz w:val="24"/>
                <w:highlight w:val="none"/>
              </w:rPr>
            </w:pPr>
          </w:p>
        </w:tc>
        <w:tc>
          <w:tcPr>
            <w:tcW w:w="1095" w:type="dxa"/>
            <w:noWrap w:val="0"/>
            <w:vAlign w:val="top"/>
          </w:tcPr>
          <w:p w14:paraId="15B0EAA2">
            <w:pPr>
              <w:tabs>
                <w:tab w:val="left" w:pos="720"/>
                <w:tab w:val="left" w:pos="1440"/>
                <w:tab w:val="left" w:pos="1620"/>
              </w:tabs>
              <w:spacing w:line="360" w:lineRule="auto"/>
              <w:ind w:right="187"/>
              <w:rPr>
                <w:rFonts w:ascii="宋体" w:hAnsi="宋体"/>
                <w:sz w:val="24"/>
                <w:highlight w:val="none"/>
              </w:rPr>
            </w:pPr>
          </w:p>
        </w:tc>
        <w:tc>
          <w:tcPr>
            <w:tcW w:w="1040" w:type="dxa"/>
            <w:noWrap w:val="0"/>
            <w:vAlign w:val="top"/>
          </w:tcPr>
          <w:p w14:paraId="60DCD3BB">
            <w:pPr>
              <w:tabs>
                <w:tab w:val="left" w:pos="720"/>
                <w:tab w:val="left" w:pos="1440"/>
                <w:tab w:val="left" w:pos="1620"/>
              </w:tabs>
              <w:spacing w:line="360" w:lineRule="auto"/>
              <w:ind w:right="187"/>
              <w:rPr>
                <w:rFonts w:ascii="宋体" w:hAnsi="宋体"/>
                <w:sz w:val="24"/>
                <w:highlight w:val="none"/>
              </w:rPr>
            </w:pPr>
          </w:p>
        </w:tc>
        <w:tc>
          <w:tcPr>
            <w:tcW w:w="1131" w:type="dxa"/>
            <w:noWrap w:val="0"/>
            <w:vAlign w:val="top"/>
          </w:tcPr>
          <w:p w14:paraId="4E038B25">
            <w:pPr>
              <w:tabs>
                <w:tab w:val="left" w:pos="720"/>
                <w:tab w:val="left" w:pos="1440"/>
                <w:tab w:val="left" w:pos="1620"/>
              </w:tabs>
              <w:spacing w:line="360" w:lineRule="auto"/>
              <w:ind w:right="187"/>
              <w:rPr>
                <w:rFonts w:ascii="宋体" w:hAnsi="宋体"/>
                <w:sz w:val="24"/>
                <w:highlight w:val="none"/>
              </w:rPr>
            </w:pPr>
          </w:p>
        </w:tc>
        <w:tc>
          <w:tcPr>
            <w:tcW w:w="1234" w:type="dxa"/>
            <w:noWrap w:val="0"/>
            <w:vAlign w:val="top"/>
          </w:tcPr>
          <w:p w14:paraId="6B2F1B97">
            <w:pPr>
              <w:tabs>
                <w:tab w:val="left" w:pos="720"/>
                <w:tab w:val="left" w:pos="1440"/>
                <w:tab w:val="left" w:pos="1620"/>
              </w:tabs>
              <w:spacing w:line="360" w:lineRule="auto"/>
              <w:ind w:right="187"/>
              <w:rPr>
                <w:rFonts w:ascii="宋体" w:hAnsi="宋体"/>
                <w:sz w:val="24"/>
                <w:highlight w:val="none"/>
              </w:rPr>
            </w:pPr>
          </w:p>
        </w:tc>
      </w:tr>
    </w:tbl>
    <w:p w14:paraId="5A0DC288">
      <w:pPr>
        <w:pStyle w:val="31"/>
        <w:spacing w:line="360" w:lineRule="auto"/>
        <w:ind w:left="0" w:leftChars="0" w:firstLine="0" w:firstLineChars="0"/>
        <w:rPr>
          <w:rFonts w:hint="eastAsia" w:ascii="宋体" w:hAnsi="宋体"/>
          <w:b/>
          <w:bCs/>
          <w:sz w:val="21"/>
          <w:highlight w:val="none"/>
        </w:rPr>
      </w:pPr>
      <w:r>
        <w:rPr>
          <w:rFonts w:hint="eastAsia" w:ascii="宋体" w:hAnsi="宋体"/>
          <w:b/>
          <w:bCs/>
          <w:sz w:val="21"/>
          <w:highlight w:val="none"/>
        </w:rPr>
        <w:t>请在此表后附合同或其他相关证明材料，具体要求详见评标办法，近年年份要求详见供应商须知前附表。</w:t>
      </w:r>
    </w:p>
    <w:p w14:paraId="68335004">
      <w:pPr>
        <w:spacing w:line="360" w:lineRule="auto"/>
        <w:ind w:right="187"/>
        <w:rPr>
          <w:rFonts w:ascii="宋体" w:hAnsi="宋体"/>
          <w:bCs/>
          <w:sz w:val="24"/>
          <w:highlight w:val="none"/>
          <w:u w:val="single"/>
        </w:rPr>
      </w:pPr>
      <w:r>
        <w:rPr>
          <w:rFonts w:hint="eastAsia" w:ascii="宋体" w:hAnsi="宋体"/>
          <w:sz w:val="24"/>
          <w:highlight w:val="none"/>
        </w:rPr>
        <w:t>供应商单位全称</w:t>
      </w:r>
      <w:r>
        <w:rPr>
          <w:rFonts w:hint="eastAsia" w:ascii="宋体" w:hAnsi="宋体"/>
          <w:bCs/>
          <w:sz w:val="24"/>
          <w:highlight w:val="none"/>
        </w:rPr>
        <w:t>（公章）：</w:t>
      </w:r>
      <w:r>
        <w:rPr>
          <w:rFonts w:ascii="宋体" w:hAnsi="宋体"/>
          <w:bCs/>
          <w:sz w:val="24"/>
          <w:highlight w:val="none"/>
          <w:u w:val="single"/>
        </w:rPr>
        <w:t xml:space="preserve">               </w:t>
      </w:r>
    </w:p>
    <w:p w14:paraId="7869C3B3">
      <w:pPr>
        <w:spacing w:line="360" w:lineRule="auto"/>
        <w:ind w:right="187"/>
        <w:rPr>
          <w:rFonts w:ascii="宋体" w:hAnsi="宋体"/>
          <w:bCs/>
          <w:sz w:val="24"/>
          <w:highlight w:val="none"/>
          <w:u w:val="single"/>
        </w:rPr>
      </w:pPr>
    </w:p>
    <w:p w14:paraId="1D362521">
      <w:pPr>
        <w:spacing w:line="360" w:lineRule="auto"/>
        <w:ind w:right="187"/>
        <w:rPr>
          <w:rFonts w:ascii="宋体" w:hAnsi="宋体"/>
          <w:b/>
          <w:bCs/>
          <w:sz w:val="24"/>
          <w:highlight w:val="none"/>
        </w:rPr>
      </w:pPr>
      <w:r>
        <w:rPr>
          <w:rFonts w:hint="eastAsia" w:ascii="宋体" w:hAnsi="宋体"/>
          <w:bCs/>
          <w:sz w:val="24"/>
          <w:highlight w:val="none"/>
        </w:rPr>
        <w:t>法定代表人或授权代理人签字或盖章：</w:t>
      </w:r>
      <w:r>
        <w:rPr>
          <w:rFonts w:ascii="宋体" w:hAnsi="宋体"/>
          <w:bCs/>
          <w:sz w:val="24"/>
          <w:highlight w:val="none"/>
          <w:u w:val="single"/>
        </w:rPr>
        <w:t xml:space="preserve">       </w:t>
      </w:r>
      <w:r>
        <w:rPr>
          <w:rFonts w:ascii="宋体" w:hAnsi="宋体"/>
          <w:bCs/>
          <w:sz w:val="24"/>
          <w:highlight w:val="none"/>
        </w:rPr>
        <w:t xml:space="preserve">     </w:t>
      </w:r>
    </w:p>
    <w:p w14:paraId="251AF609">
      <w:pPr>
        <w:pStyle w:val="31"/>
        <w:spacing w:line="360" w:lineRule="auto"/>
        <w:ind w:left="0" w:leftChars="0" w:firstLine="0" w:firstLineChars="0"/>
        <w:jc w:val="right"/>
        <w:rPr>
          <w:rFonts w:ascii="宋体" w:hAnsi="宋体"/>
          <w:bCs/>
          <w:highlight w:val="none"/>
        </w:rPr>
        <w:sectPr>
          <w:pgSz w:w="11907" w:h="16840"/>
          <w:pgMar w:top="1418" w:right="1418" w:bottom="1418" w:left="1418" w:header="851" w:footer="851" w:gutter="0"/>
          <w:pgNumType w:fmt="decimal"/>
          <w:cols w:space="720" w:num="1"/>
          <w:docGrid w:linePitch="290" w:charSpace="-3931"/>
        </w:sectPr>
      </w:pPr>
      <w:r>
        <w:rPr>
          <w:rFonts w:hint="eastAsia" w:ascii="宋体" w:hAnsi="宋体"/>
          <w:bCs/>
          <w:highlight w:val="none"/>
        </w:rPr>
        <w:t>年</w:t>
      </w:r>
      <w:r>
        <w:rPr>
          <w:rFonts w:ascii="宋体" w:hAnsi="宋体"/>
          <w:bCs/>
          <w:highlight w:val="none"/>
        </w:rPr>
        <w:t xml:space="preserve">  </w:t>
      </w:r>
      <w:r>
        <w:rPr>
          <w:rFonts w:hint="eastAsia" w:ascii="宋体" w:hAnsi="宋体"/>
          <w:bCs/>
          <w:highlight w:val="none"/>
        </w:rPr>
        <w:t>月</w:t>
      </w:r>
      <w:r>
        <w:rPr>
          <w:rFonts w:ascii="宋体" w:hAnsi="宋体"/>
          <w:bCs/>
          <w:highlight w:val="none"/>
        </w:rPr>
        <w:t xml:space="preserve">  </w:t>
      </w:r>
      <w:r>
        <w:rPr>
          <w:rFonts w:hint="eastAsia" w:ascii="宋体" w:hAnsi="宋体"/>
          <w:bCs/>
          <w:highlight w:val="none"/>
        </w:rPr>
        <w:t>日</w:t>
      </w:r>
    </w:p>
    <w:p w14:paraId="13568999">
      <w:pPr>
        <w:pStyle w:val="4"/>
        <w:spacing w:before="120" w:after="120" w:line="360" w:lineRule="exact"/>
        <w:rPr>
          <w:rFonts w:ascii="宋体" w:hAnsi="宋体"/>
          <w:b w:val="0"/>
          <w:sz w:val="24"/>
          <w:szCs w:val="21"/>
          <w:highlight w:val="none"/>
        </w:rPr>
      </w:pPr>
      <w:bookmarkStart w:id="135" w:name="_Toc23787"/>
      <w:bookmarkStart w:id="136" w:name="_Toc27662"/>
      <w:bookmarkStart w:id="137" w:name="_Toc475472023"/>
      <w:r>
        <w:rPr>
          <w:rFonts w:hint="eastAsia" w:ascii="宋体" w:hAnsi="宋体"/>
          <w:b w:val="0"/>
          <w:sz w:val="24"/>
          <w:szCs w:val="21"/>
          <w:highlight w:val="none"/>
        </w:rPr>
        <w:t>附件九：商务情况表</w:t>
      </w:r>
      <w:bookmarkEnd w:id="135"/>
      <w:bookmarkEnd w:id="136"/>
    </w:p>
    <w:p w14:paraId="1580EC21">
      <w:pPr>
        <w:jc w:val="center"/>
        <w:rPr>
          <w:rFonts w:hint="eastAsia"/>
          <w:sz w:val="28"/>
          <w:szCs w:val="36"/>
          <w:highlight w:val="none"/>
        </w:rPr>
      </w:pPr>
      <w:bookmarkStart w:id="138" w:name="_Toc6678"/>
      <w:r>
        <w:rPr>
          <w:rFonts w:hint="eastAsia"/>
          <w:sz w:val="28"/>
          <w:szCs w:val="36"/>
          <w:highlight w:val="none"/>
        </w:rPr>
        <w:t>供应商商务情况</w:t>
      </w:r>
      <w:bookmarkEnd w:id="138"/>
      <w:r>
        <w:rPr>
          <w:rFonts w:hint="eastAsia"/>
          <w:sz w:val="28"/>
          <w:szCs w:val="36"/>
          <w:highlight w:val="none"/>
        </w:rPr>
        <w:t>表</w:t>
      </w:r>
    </w:p>
    <w:p w14:paraId="53F5FD56">
      <w:pPr>
        <w:pStyle w:val="31"/>
        <w:spacing w:line="360" w:lineRule="auto"/>
        <w:ind w:left="0" w:leftChars="0" w:firstLine="0" w:firstLineChars="0"/>
        <w:rPr>
          <w:rFonts w:hint="eastAsia" w:ascii="宋体" w:hAnsi="宋体"/>
          <w:bCs/>
          <w:highlight w:val="none"/>
          <w:u w:val="single"/>
        </w:rPr>
      </w:pPr>
      <w:r>
        <w:rPr>
          <w:rFonts w:hint="eastAsia" w:ascii="宋体" w:hAnsi="宋体"/>
          <w:bCs/>
          <w:highlight w:val="none"/>
        </w:rPr>
        <w:t>项目编号</w:t>
      </w:r>
      <w:r>
        <w:rPr>
          <w:rFonts w:hint="eastAsia" w:ascii="宋体" w:hAnsi="宋体"/>
          <w:b/>
          <w:bCs/>
          <w:highlight w:val="none"/>
        </w:rPr>
        <w:t>：</w:t>
      </w:r>
      <w:r>
        <w:rPr>
          <w:rFonts w:hint="eastAsia" w:ascii="宋体" w:hAnsi="宋体"/>
          <w:highlight w:val="none"/>
        </w:rPr>
        <w:t xml:space="preserve"> _______________________</w:t>
      </w:r>
      <w:r>
        <w:rPr>
          <w:rFonts w:hint="eastAsia" w:ascii="宋体" w:hAnsi="宋体"/>
          <w:bCs/>
          <w:highlight w:val="none"/>
          <w:u w:val="single"/>
        </w:rPr>
        <w:t xml:space="preserve"> </w:t>
      </w:r>
    </w:p>
    <w:p w14:paraId="1B3F0C51">
      <w:pPr>
        <w:pStyle w:val="30"/>
        <w:rPr>
          <w:rFonts w:hint="eastAsia"/>
          <w:highlight w:val="none"/>
        </w:rPr>
      </w:pPr>
      <w:r>
        <w:rPr>
          <w:rFonts w:hint="eastAsia" w:ascii="宋体" w:hAnsi="宋体"/>
          <w:bCs/>
          <w:highlight w:val="none"/>
        </w:rPr>
        <w:t>项目名称</w:t>
      </w:r>
      <w:r>
        <w:rPr>
          <w:rFonts w:hint="eastAsia" w:ascii="宋体" w:hAnsi="宋体"/>
          <w:b/>
          <w:bCs/>
          <w:highlight w:val="none"/>
        </w:rPr>
        <w:t>：</w:t>
      </w:r>
      <w:r>
        <w:rPr>
          <w:rFonts w:hint="eastAsia" w:ascii="宋体" w:hAnsi="宋体"/>
          <w:highlight w:val="none"/>
        </w:rPr>
        <w:t>_______________________</w:t>
      </w:r>
      <w:r>
        <w:rPr>
          <w:rFonts w:hint="eastAsia" w:ascii="宋体" w:hAnsi="宋体"/>
          <w:bCs/>
          <w:highlight w:val="none"/>
          <w:u w:val="single"/>
        </w:rPr>
        <w:t xml:space="preserve"> </w:t>
      </w:r>
      <w:r>
        <w:rPr>
          <w:rFonts w:hint="eastAsia" w:ascii="宋体" w:hAnsi="宋体"/>
          <w:bCs/>
          <w:highlight w:val="none"/>
        </w:rPr>
        <w:t xml:space="preserve">  </w:t>
      </w:r>
      <w:r>
        <w:rPr>
          <w:rFonts w:hint="eastAsia" w:ascii="宋体" w:hAnsi="宋体"/>
          <w:highlight w:val="none"/>
          <w:lang w:val="en-US" w:eastAsia="zh-CN"/>
        </w:rPr>
        <w:t>包号：</w:t>
      </w:r>
      <w:r>
        <w:rPr>
          <w:rFonts w:hint="eastAsia" w:ascii="宋体" w:hAnsi="宋体"/>
          <w:highlight w:val="none"/>
        </w:rPr>
        <w:t>___________</w:t>
      </w:r>
      <w:r>
        <w:rPr>
          <w:rFonts w:hint="eastAsia" w:ascii="宋体" w:hAnsi="宋体"/>
          <w:highlight w:val="none"/>
          <w:lang w:val="en-US" w:eastAsia="zh-CN"/>
        </w:rPr>
        <w:t xml:space="preserve"> </w:t>
      </w:r>
      <w:r>
        <w:rPr>
          <w:rFonts w:hint="eastAsia" w:ascii="宋体" w:hAnsi="宋体"/>
          <w:bCs/>
          <w:highlight w:val="none"/>
          <w:u w:val="single"/>
        </w:rPr>
        <w:t xml:space="preserve"> </w:t>
      </w:r>
      <w:r>
        <w:rPr>
          <w:rFonts w:hint="eastAsia" w:ascii="宋体" w:hAnsi="宋体"/>
          <w:bCs/>
          <w:highlight w:val="none"/>
          <w:u w:val="none"/>
        </w:rPr>
        <w:t xml:space="preserve"> </w:t>
      </w:r>
    </w:p>
    <w:tbl>
      <w:tblPr>
        <w:tblStyle w:val="7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1243"/>
        <w:gridCol w:w="1055"/>
        <w:gridCol w:w="1521"/>
        <w:gridCol w:w="1423"/>
        <w:gridCol w:w="133"/>
        <w:gridCol w:w="878"/>
        <w:gridCol w:w="1319"/>
      </w:tblGrid>
      <w:tr w14:paraId="6445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6" w:type="dxa"/>
            <w:noWrap w:val="0"/>
            <w:vAlign w:val="center"/>
          </w:tcPr>
          <w:p w14:paraId="4D0D007D">
            <w:pPr>
              <w:jc w:val="center"/>
              <w:rPr>
                <w:rFonts w:hint="eastAsia" w:ascii="宋体" w:hAnsi="宋体" w:cs="宋体"/>
                <w:sz w:val="24"/>
                <w:highlight w:val="none"/>
              </w:rPr>
            </w:pPr>
            <w:r>
              <w:rPr>
                <w:rFonts w:hint="eastAsia" w:ascii="宋体" w:hAnsi="宋体" w:cs="宋体"/>
                <w:sz w:val="24"/>
                <w:highlight w:val="none"/>
              </w:rPr>
              <w:t>供应商名称</w:t>
            </w:r>
          </w:p>
        </w:tc>
        <w:tc>
          <w:tcPr>
            <w:tcW w:w="7572" w:type="dxa"/>
            <w:gridSpan w:val="7"/>
            <w:noWrap w:val="0"/>
            <w:vAlign w:val="center"/>
          </w:tcPr>
          <w:p w14:paraId="4D758D4E">
            <w:pPr>
              <w:jc w:val="center"/>
              <w:rPr>
                <w:rFonts w:hint="eastAsia" w:ascii="宋体" w:hAnsi="宋体" w:cs="宋体"/>
                <w:sz w:val="24"/>
                <w:highlight w:val="none"/>
              </w:rPr>
            </w:pPr>
          </w:p>
        </w:tc>
      </w:tr>
      <w:tr w14:paraId="19D8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6" w:type="dxa"/>
            <w:noWrap w:val="0"/>
            <w:vAlign w:val="center"/>
          </w:tcPr>
          <w:p w14:paraId="421025BF">
            <w:pPr>
              <w:jc w:val="center"/>
              <w:rPr>
                <w:rFonts w:hint="eastAsia" w:ascii="宋体" w:hAnsi="宋体" w:cs="宋体"/>
                <w:sz w:val="24"/>
                <w:highlight w:val="none"/>
              </w:rPr>
            </w:pPr>
            <w:r>
              <w:rPr>
                <w:rFonts w:hint="eastAsia" w:ascii="宋体" w:hAnsi="宋体" w:cs="宋体"/>
                <w:sz w:val="24"/>
                <w:highlight w:val="none"/>
              </w:rPr>
              <w:t>注册地址</w:t>
            </w:r>
          </w:p>
        </w:tc>
        <w:tc>
          <w:tcPr>
            <w:tcW w:w="3819" w:type="dxa"/>
            <w:gridSpan w:val="3"/>
            <w:noWrap w:val="0"/>
            <w:vAlign w:val="center"/>
          </w:tcPr>
          <w:p w14:paraId="24B8D10A">
            <w:pPr>
              <w:jc w:val="center"/>
              <w:rPr>
                <w:rFonts w:hint="eastAsia" w:ascii="宋体" w:hAnsi="宋体" w:cs="宋体"/>
                <w:sz w:val="24"/>
                <w:highlight w:val="none"/>
              </w:rPr>
            </w:pPr>
          </w:p>
        </w:tc>
        <w:tc>
          <w:tcPr>
            <w:tcW w:w="1423" w:type="dxa"/>
            <w:noWrap w:val="0"/>
            <w:vAlign w:val="center"/>
          </w:tcPr>
          <w:p w14:paraId="50161469">
            <w:pPr>
              <w:jc w:val="center"/>
              <w:rPr>
                <w:rFonts w:hint="eastAsia" w:ascii="宋体" w:hAnsi="宋体" w:cs="宋体"/>
                <w:sz w:val="24"/>
                <w:highlight w:val="none"/>
              </w:rPr>
            </w:pPr>
            <w:r>
              <w:rPr>
                <w:rFonts w:hint="eastAsia" w:ascii="宋体" w:hAnsi="宋体" w:cs="宋体"/>
                <w:sz w:val="24"/>
                <w:highlight w:val="none"/>
              </w:rPr>
              <w:t>邮政编码</w:t>
            </w:r>
          </w:p>
        </w:tc>
        <w:tc>
          <w:tcPr>
            <w:tcW w:w="2330" w:type="dxa"/>
            <w:gridSpan w:val="3"/>
            <w:noWrap w:val="0"/>
            <w:vAlign w:val="center"/>
          </w:tcPr>
          <w:p w14:paraId="0A0F9041">
            <w:pPr>
              <w:jc w:val="center"/>
              <w:rPr>
                <w:rFonts w:hint="eastAsia" w:ascii="宋体" w:hAnsi="宋体" w:cs="宋体"/>
                <w:sz w:val="24"/>
                <w:highlight w:val="none"/>
              </w:rPr>
            </w:pPr>
          </w:p>
        </w:tc>
      </w:tr>
      <w:tr w14:paraId="4EB0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6" w:type="dxa"/>
            <w:vMerge w:val="restart"/>
            <w:noWrap w:val="0"/>
            <w:vAlign w:val="center"/>
          </w:tcPr>
          <w:p w14:paraId="1B876F7E">
            <w:pPr>
              <w:jc w:val="center"/>
              <w:rPr>
                <w:rFonts w:hint="eastAsia" w:ascii="宋体" w:hAnsi="宋体" w:cs="宋体"/>
                <w:sz w:val="24"/>
                <w:highlight w:val="none"/>
              </w:rPr>
            </w:pPr>
            <w:r>
              <w:rPr>
                <w:rFonts w:hint="eastAsia" w:ascii="宋体" w:hAnsi="宋体" w:cs="宋体"/>
                <w:sz w:val="24"/>
                <w:highlight w:val="none"/>
              </w:rPr>
              <w:t>联系方式</w:t>
            </w:r>
          </w:p>
        </w:tc>
        <w:tc>
          <w:tcPr>
            <w:tcW w:w="1243" w:type="dxa"/>
            <w:noWrap w:val="0"/>
            <w:vAlign w:val="center"/>
          </w:tcPr>
          <w:p w14:paraId="672ED30C">
            <w:pPr>
              <w:jc w:val="center"/>
              <w:rPr>
                <w:rFonts w:hint="eastAsia" w:ascii="宋体" w:hAnsi="宋体" w:cs="宋体"/>
                <w:sz w:val="24"/>
                <w:highlight w:val="none"/>
              </w:rPr>
            </w:pPr>
            <w:r>
              <w:rPr>
                <w:rFonts w:hint="eastAsia" w:ascii="宋体" w:hAnsi="宋体" w:cs="宋体"/>
                <w:sz w:val="24"/>
                <w:highlight w:val="none"/>
              </w:rPr>
              <w:t>联系人</w:t>
            </w:r>
          </w:p>
        </w:tc>
        <w:tc>
          <w:tcPr>
            <w:tcW w:w="2576" w:type="dxa"/>
            <w:gridSpan w:val="2"/>
            <w:noWrap w:val="0"/>
            <w:vAlign w:val="center"/>
          </w:tcPr>
          <w:p w14:paraId="5CE5376F">
            <w:pPr>
              <w:jc w:val="center"/>
              <w:rPr>
                <w:rFonts w:hint="eastAsia" w:ascii="宋体" w:hAnsi="宋体" w:cs="宋体"/>
                <w:sz w:val="24"/>
                <w:highlight w:val="none"/>
              </w:rPr>
            </w:pPr>
          </w:p>
        </w:tc>
        <w:tc>
          <w:tcPr>
            <w:tcW w:w="1423" w:type="dxa"/>
            <w:noWrap w:val="0"/>
            <w:vAlign w:val="center"/>
          </w:tcPr>
          <w:p w14:paraId="0F657050">
            <w:pPr>
              <w:jc w:val="center"/>
              <w:rPr>
                <w:rFonts w:hint="eastAsia" w:ascii="宋体" w:hAnsi="宋体" w:cs="宋体"/>
                <w:sz w:val="24"/>
                <w:highlight w:val="none"/>
              </w:rPr>
            </w:pPr>
            <w:r>
              <w:rPr>
                <w:rFonts w:hint="eastAsia" w:ascii="宋体" w:hAnsi="宋体" w:cs="宋体"/>
                <w:sz w:val="24"/>
                <w:highlight w:val="none"/>
              </w:rPr>
              <w:t>电  话</w:t>
            </w:r>
          </w:p>
        </w:tc>
        <w:tc>
          <w:tcPr>
            <w:tcW w:w="2330" w:type="dxa"/>
            <w:gridSpan w:val="3"/>
            <w:noWrap w:val="0"/>
            <w:vAlign w:val="center"/>
          </w:tcPr>
          <w:p w14:paraId="3DA6517E">
            <w:pPr>
              <w:jc w:val="center"/>
              <w:rPr>
                <w:rFonts w:hint="eastAsia" w:ascii="宋体" w:hAnsi="宋体" w:cs="宋体"/>
                <w:sz w:val="24"/>
                <w:highlight w:val="none"/>
              </w:rPr>
            </w:pPr>
          </w:p>
        </w:tc>
      </w:tr>
      <w:tr w14:paraId="1D0B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6" w:type="dxa"/>
            <w:vMerge w:val="continue"/>
            <w:noWrap w:val="0"/>
            <w:vAlign w:val="center"/>
          </w:tcPr>
          <w:p w14:paraId="7706C89B">
            <w:pPr>
              <w:jc w:val="center"/>
              <w:rPr>
                <w:rFonts w:hint="eastAsia" w:ascii="宋体" w:hAnsi="宋体" w:cs="宋体"/>
                <w:sz w:val="24"/>
                <w:highlight w:val="none"/>
              </w:rPr>
            </w:pPr>
          </w:p>
        </w:tc>
        <w:tc>
          <w:tcPr>
            <w:tcW w:w="1243" w:type="dxa"/>
            <w:noWrap w:val="0"/>
            <w:vAlign w:val="center"/>
          </w:tcPr>
          <w:p w14:paraId="40A363D8">
            <w:pPr>
              <w:jc w:val="center"/>
              <w:rPr>
                <w:rFonts w:hint="eastAsia" w:ascii="宋体" w:hAnsi="宋体" w:cs="宋体"/>
                <w:sz w:val="24"/>
                <w:highlight w:val="none"/>
              </w:rPr>
            </w:pPr>
            <w:r>
              <w:rPr>
                <w:rFonts w:hint="eastAsia" w:ascii="宋体" w:hAnsi="宋体" w:cs="宋体"/>
                <w:sz w:val="24"/>
                <w:highlight w:val="none"/>
              </w:rPr>
              <w:t>传  真</w:t>
            </w:r>
          </w:p>
        </w:tc>
        <w:tc>
          <w:tcPr>
            <w:tcW w:w="2576" w:type="dxa"/>
            <w:gridSpan w:val="2"/>
            <w:noWrap w:val="0"/>
            <w:vAlign w:val="center"/>
          </w:tcPr>
          <w:p w14:paraId="35A37CD8">
            <w:pPr>
              <w:jc w:val="center"/>
              <w:rPr>
                <w:rFonts w:hint="eastAsia" w:ascii="宋体" w:hAnsi="宋体" w:cs="宋体"/>
                <w:sz w:val="24"/>
                <w:highlight w:val="none"/>
              </w:rPr>
            </w:pPr>
          </w:p>
        </w:tc>
        <w:tc>
          <w:tcPr>
            <w:tcW w:w="1423" w:type="dxa"/>
            <w:noWrap w:val="0"/>
            <w:vAlign w:val="center"/>
          </w:tcPr>
          <w:p w14:paraId="48FD4020">
            <w:pPr>
              <w:jc w:val="center"/>
              <w:rPr>
                <w:rFonts w:hint="eastAsia" w:ascii="宋体" w:hAnsi="宋体" w:cs="宋体"/>
                <w:sz w:val="24"/>
                <w:highlight w:val="none"/>
              </w:rPr>
            </w:pPr>
            <w:r>
              <w:rPr>
                <w:rFonts w:hint="eastAsia" w:ascii="宋体" w:hAnsi="宋体" w:cs="宋体"/>
                <w:sz w:val="24"/>
                <w:highlight w:val="none"/>
              </w:rPr>
              <w:t>网  址</w:t>
            </w:r>
          </w:p>
        </w:tc>
        <w:tc>
          <w:tcPr>
            <w:tcW w:w="2330" w:type="dxa"/>
            <w:gridSpan w:val="3"/>
            <w:noWrap w:val="0"/>
            <w:vAlign w:val="center"/>
          </w:tcPr>
          <w:p w14:paraId="1F13A786">
            <w:pPr>
              <w:jc w:val="center"/>
              <w:rPr>
                <w:rFonts w:hint="eastAsia" w:ascii="宋体" w:hAnsi="宋体" w:cs="宋体"/>
                <w:sz w:val="24"/>
                <w:highlight w:val="none"/>
              </w:rPr>
            </w:pPr>
          </w:p>
        </w:tc>
      </w:tr>
      <w:tr w14:paraId="2544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6" w:type="dxa"/>
            <w:noWrap w:val="0"/>
            <w:vAlign w:val="center"/>
          </w:tcPr>
          <w:p w14:paraId="7C9B89DD">
            <w:pPr>
              <w:jc w:val="center"/>
              <w:rPr>
                <w:rFonts w:hint="eastAsia" w:ascii="宋体" w:hAnsi="宋体" w:cs="宋体"/>
                <w:sz w:val="24"/>
                <w:highlight w:val="none"/>
              </w:rPr>
            </w:pPr>
            <w:r>
              <w:rPr>
                <w:rFonts w:hint="eastAsia" w:ascii="宋体" w:hAnsi="宋体" w:cs="宋体"/>
                <w:sz w:val="24"/>
                <w:highlight w:val="none"/>
              </w:rPr>
              <w:t>企业性质</w:t>
            </w:r>
          </w:p>
        </w:tc>
        <w:tc>
          <w:tcPr>
            <w:tcW w:w="7572" w:type="dxa"/>
            <w:gridSpan w:val="7"/>
            <w:noWrap w:val="0"/>
            <w:vAlign w:val="center"/>
          </w:tcPr>
          <w:p w14:paraId="6DAE972F">
            <w:pPr>
              <w:jc w:val="center"/>
              <w:rPr>
                <w:rFonts w:hint="eastAsia" w:ascii="宋体" w:hAnsi="宋体" w:cs="宋体"/>
                <w:sz w:val="24"/>
                <w:highlight w:val="none"/>
              </w:rPr>
            </w:pPr>
          </w:p>
        </w:tc>
      </w:tr>
      <w:tr w14:paraId="6A46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6" w:type="dxa"/>
            <w:noWrap w:val="0"/>
            <w:vAlign w:val="center"/>
          </w:tcPr>
          <w:p w14:paraId="1F55B0D0">
            <w:pPr>
              <w:jc w:val="center"/>
              <w:rPr>
                <w:rFonts w:hint="eastAsia" w:ascii="宋体" w:hAnsi="宋体" w:cs="宋体"/>
                <w:sz w:val="24"/>
                <w:highlight w:val="none"/>
              </w:rPr>
            </w:pPr>
            <w:r>
              <w:rPr>
                <w:rFonts w:hint="eastAsia" w:ascii="宋体" w:hAnsi="宋体" w:cs="宋体"/>
                <w:sz w:val="24"/>
                <w:highlight w:val="none"/>
              </w:rPr>
              <w:t>法定代表人</w:t>
            </w:r>
          </w:p>
        </w:tc>
        <w:tc>
          <w:tcPr>
            <w:tcW w:w="1243" w:type="dxa"/>
            <w:noWrap w:val="0"/>
            <w:vAlign w:val="center"/>
          </w:tcPr>
          <w:p w14:paraId="7B5997F8">
            <w:pPr>
              <w:jc w:val="center"/>
              <w:rPr>
                <w:rFonts w:hint="eastAsia" w:ascii="宋体" w:hAnsi="宋体" w:cs="宋体"/>
                <w:sz w:val="24"/>
                <w:highlight w:val="none"/>
              </w:rPr>
            </w:pPr>
            <w:r>
              <w:rPr>
                <w:rFonts w:hint="eastAsia" w:ascii="宋体" w:hAnsi="宋体" w:cs="宋体"/>
                <w:sz w:val="24"/>
                <w:highlight w:val="none"/>
              </w:rPr>
              <w:t>姓名</w:t>
            </w:r>
          </w:p>
        </w:tc>
        <w:tc>
          <w:tcPr>
            <w:tcW w:w="4132" w:type="dxa"/>
            <w:gridSpan w:val="4"/>
            <w:noWrap w:val="0"/>
            <w:vAlign w:val="center"/>
          </w:tcPr>
          <w:p w14:paraId="41940F83">
            <w:pPr>
              <w:jc w:val="center"/>
              <w:rPr>
                <w:rFonts w:hint="eastAsia" w:ascii="宋体" w:hAnsi="宋体" w:cs="宋体"/>
                <w:sz w:val="24"/>
                <w:highlight w:val="none"/>
              </w:rPr>
            </w:pPr>
          </w:p>
        </w:tc>
        <w:tc>
          <w:tcPr>
            <w:tcW w:w="878" w:type="dxa"/>
            <w:noWrap w:val="0"/>
            <w:vAlign w:val="center"/>
          </w:tcPr>
          <w:p w14:paraId="44AC2B4D">
            <w:pPr>
              <w:jc w:val="center"/>
              <w:rPr>
                <w:rFonts w:hint="eastAsia" w:ascii="宋体" w:hAnsi="宋体" w:cs="宋体"/>
                <w:sz w:val="24"/>
                <w:highlight w:val="none"/>
              </w:rPr>
            </w:pPr>
            <w:r>
              <w:rPr>
                <w:rFonts w:hint="eastAsia" w:ascii="宋体" w:hAnsi="宋体" w:cs="宋体"/>
                <w:sz w:val="24"/>
                <w:highlight w:val="none"/>
              </w:rPr>
              <w:t>电话</w:t>
            </w:r>
          </w:p>
        </w:tc>
        <w:tc>
          <w:tcPr>
            <w:tcW w:w="1319" w:type="dxa"/>
            <w:noWrap w:val="0"/>
            <w:vAlign w:val="center"/>
          </w:tcPr>
          <w:p w14:paraId="24DA6346">
            <w:pPr>
              <w:jc w:val="center"/>
              <w:rPr>
                <w:rFonts w:hint="eastAsia" w:ascii="宋体" w:hAnsi="宋体" w:cs="宋体"/>
                <w:sz w:val="24"/>
                <w:highlight w:val="none"/>
              </w:rPr>
            </w:pPr>
          </w:p>
        </w:tc>
      </w:tr>
      <w:tr w14:paraId="5452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6" w:type="dxa"/>
            <w:noWrap w:val="0"/>
            <w:vAlign w:val="center"/>
          </w:tcPr>
          <w:p w14:paraId="0FA044C8">
            <w:pPr>
              <w:jc w:val="center"/>
              <w:rPr>
                <w:rFonts w:hint="eastAsia" w:ascii="宋体" w:hAnsi="宋体" w:cs="宋体"/>
                <w:sz w:val="24"/>
                <w:highlight w:val="none"/>
              </w:rPr>
            </w:pPr>
            <w:r>
              <w:rPr>
                <w:rFonts w:hint="eastAsia" w:ascii="宋体" w:hAnsi="宋体" w:cs="宋体"/>
                <w:sz w:val="24"/>
                <w:highlight w:val="none"/>
              </w:rPr>
              <w:t>成立时间</w:t>
            </w:r>
          </w:p>
        </w:tc>
        <w:tc>
          <w:tcPr>
            <w:tcW w:w="2298" w:type="dxa"/>
            <w:gridSpan w:val="2"/>
            <w:noWrap w:val="0"/>
            <w:vAlign w:val="center"/>
          </w:tcPr>
          <w:p w14:paraId="45B38D7F">
            <w:pPr>
              <w:jc w:val="center"/>
              <w:rPr>
                <w:rFonts w:hint="eastAsia" w:ascii="宋体" w:hAnsi="宋体" w:cs="宋体"/>
                <w:sz w:val="24"/>
                <w:highlight w:val="none"/>
              </w:rPr>
            </w:pPr>
          </w:p>
        </w:tc>
        <w:tc>
          <w:tcPr>
            <w:tcW w:w="5274" w:type="dxa"/>
            <w:gridSpan w:val="5"/>
            <w:noWrap w:val="0"/>
            <w:vAlign w:val="center"/>
          </w:tcPr>
          <w:p w14:paraId="163BFA15">
            <w:pPr>
              <w:jc w:val="center"/>
              <w:rPr>
                <w:rFonts w:hint="eastAsia" w:ascii="宋体" w:hAnsi="宋体" w:cs="宋体"/>
                <w:sz w:val="24"/>
                <w:highlight w:val="none"/>
              </w:rPr>
            </w:pPr>
            <w:r>
              <w:rPr>
                <w:rFonts w:hint="eastAsia" w:ascii="宋体" w:hAnsi="宋体" w:cs="宋体"/>
                <w:sz w:val="24"/>
                <w:highlight w:val="none"/>
              </w:rPr>
              <w:t>员工总人数：</w:t>
            </w:r>
          </w:p>
        </w:tc>
      </w:tr>
      <w:tr w14:paraId="4D50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716" w:type="dxa"/>
            <w:noWrap w:val="0"/>
            <w:vAlign w:val="center"/>
          </w:tcPr>
          <w:p w14:paraId="45A92019">
            <w:pPr>
              <w:jc w:val="center"/>
              <w:rPr>
                <w:rFonts w:hint="eastAsia" w:ascii="宋体" w:hAnsi="宋体" w:cs="宋体"/>
                <w:sz w:val="24"/>
                <w:highlight w:val="none"/>
              </w:rPr>
            </w:pPr>
            <w:r>
              <w:rPr>
                <w:rFonts w:hint="eastAsia" w:ascii="宋体" w:hAnsi="宋体" w:cs="宋体"/>
                <w:sz w:val="24"/>
                <w:highlight w:val="none"/>
              </w:rPr>
              <w:t>经营范围</w:t>
            </w:r>
          </w:p>
        </w:tc>
        <w:tc>
          <w:tcPr>
            <w:tcW w:w="7572" w:type="dxa"/>
            <w:gridSpan w:val="7"/>
            <w:noWrap w:val="0"/>
            <w:vAlign w:val="center"/>
          </w:tcPr>
          <w:p w14:paraId="5F6585AD">
            <w:pPr>
              <w:jc w:val="center"/>
              <w:rPr>
                <w:rFonts w:hint="eastAsia" w:ascii="宋体" w:hAnsi="宋体" w:cs="宋体"/>
                <w:sz w:val="24"/>
                <w:highlight w:val="none"/>
              </w:rPr>
            </w:pPr>
          </w:p>
        </w:tc>
      </w:tr>
      <w:tr w14:paraId="62FA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jc w:val="center"/>
        </w:trPr>
        <w:tc>
          <w:tcPr>
            <w:tcW w:w="1716" w:type="dxa"/>
            <w:noWrap w:val="0"/>
            <w:vAlign w:val="center"/>
          </w:tcPr>
          <w:p w14:paraId="0C800735">
            <w:pPr>
              <w:jc w:val="center"/>
              <w:rPr>
                <w:rFonts w:hint="eastAsia" w:ascii="宋体" w:hAnsi="宋体" w:cs="宋体"/>
                <w:sz w:val="24"/>
                <w:highlight w:val="none"/>
              </w:rPr>
            </w:pPr>
            <w:r>
              <w:rPr>
                <w:rFonts w:hint="eastAsia" w:ascii="宋体" w:hAnsi="宋体" w:cs="宋体"/>
                <w:sz w:val="24"/>
                <w:highlight w:val="none"/>
              </w:rPr>
              <w:t>企业简介</w:t>
            </w:r>
          </w:p>
        </w:tc>
        <w:tc>
          <w:tcPr>
            <w:tcW w:w="7572" w:type="dxa"/>
            <w:gridSpan w:val="7"/>
            <w:noWrap w:val="0"/>
            <w:vAlign w:val="center"/>
          </w:tcPr>
          <w:p w14:paraId="6075DF03">
            <w:pPr>
              <w:jc w:val="center"/>
              <w:rPr>
                <w:rFonts w:hint="eastAsia" w:ascii="宋体" w:hAnsi="宋体" w:cs="宋体"/>
                <w:sz w:val="20"/>
                <w:szCs w:val="22"/>
                <w:highlight w:val="none"/>
              </w:rPr>
            </w:pPr>
          </w:p>
          <w:p w14:paraId="55C91FEE">
            <w:pPr>
              <w:pStyle w:val="19"/>
              <w:ind w:firstLine="480"/>
              <w:rPr>
                <w:rFonts w:hint="eastAsia" w:ascii="宋体" w:hAnsi="宋体" w:cs="宋体"/>
                <w:sz w:val="24"/>
                <w:szCs w:val="24"/>
                <w:highlight w:val="none"/>
              </w:rPr>
            </w:pPr>
          </w:p>
          <w:p w14:paraId="3494F7CD">
            <w:pPr>
              <w:pStyle w:val="19"/>
              <w:ind w:firstLine="480"/>
              <w:rPr>
                <w:rFonts w:hint="eastAsia" w:ascii="宋体" w:hAnsi="宋体" w:cs="宋体"/>
                <w:sz w:val="24"/>
                <w:szCs w:val="24"/>
                <w:highlight w:val="none"/>
              </w:rPr>
            </w:pPr>
          </w:p>
          <w:p w14:paraId="1E093668">
            <w:pPr>
              <w:pStyle w:val="19"/>
              <w:ind w:firstLine="480"/>
              <w:rPr>
                <w:rFonts w:hint="eastAsia" w:ascii="宋体" w:hAnsi="宋体" w:cs="宋体"/>
                <w:sz w:val="24"/>
                <w:szCs w:val="24"/>
                <w:highlight w:val="none"/>
              </w:rPr>
            </w:pPr>
          </w:p>
          <w:p w14:paraId="6811C928">
            <w:pPr>
              <w:pStyle w:val="19"/>
              <w:ind w:firstLine="480"/>
              <w:rPr>
                <w:rFonts w:hint="eastAsia" w:ascii="宋体" w:hAnsi="宋体" w:cs="宋体"/>
                <w:sz w:val="24"/>
                <w:szCs w:val="24"/>
                <w:highlight w:val="none"/>
              </w:rPr>
            </w:pPr>
          </w:p>
          <w:p w14:paraId="1E74BAF5">
            <w:pPr>
              <w:pStyle w:val="19"/>
              <w:ind w:firstLine="480"/>
              <w:rPr>
                <w:rFonts w:hint="eastAsia" w:ascii="宋体" w:hAnsi="宋体" w:cs="宋体"/>
                <w:sz w:val="24"/>
                <w:szCs w:val="24"/>
                <w:highlight w:val="none"/>
              </w:rPr>
            </w:pPr>
          </w:p>
          <w:p w14:paraId="329156D4">
            <w:pPr>
              <w:pStyle w:val="19"/>
              <w:ind w:firstLine="480"/>
              <w:rPr>
                <w:rFonts w:hint="eastAsia" w:ascii="宋体" w:hAnsi="宋体" w:cs="宋体"/>
                <w:sz w:val="24"/>
                <w:szCs w:val="24"/>
                <w:highlight w:val="none"/>
              </w:rPr>
            </w:pPr>
          </w:p>
        </w:tc>
      </w:tr>
      <w:tr w14:paraId="06CD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jc w:val="center"/>
        </w:trPr>
        <w:tc>
          <w:tcPr>
            <w:tcW w:w="1716" w:type="dxa"/>
            <w:noWrap w:val="0"/>
            <w:vAlign w:val="center"/>
          </w:tcPr>
          <w:p w14:paraId="6871735E">
            <w:pPr>
              <w:jc w:val="center"/>
              <w:rPr>
                <w:rFonts w:hint="eastAsia" w:ascii="宋体" w:hAnsi="宋体" w:cs="宋体"/>
                <w:sz w:val="24"/>
                <w:highlight w:val="none"/>
              </w:rPr>
            </w:pPr>
            <w:r>
              <w:rPr>
                <w:rFonts w:hint="eastAsia" w:ascii="宋体" w:hAnsi="宋体" w:cs="宋体"/>
                <w:sz w:val="24"/>
                <w:highlight w:val="none"/>
              </w:rPr>
              <w:t>备注</w:t>
            </w:r>
          </w:p>
        </w:tc>
        <w:tc>
          <w:tcPr>
            <w:tcW w:w="7572" w:type="dxa"/>
            <w:gridSpan w:val="7"/>
            <w:noWrap w:val="0"/>
            <w:vAlign w:val="center"/>
          </w:tcPr>
          <w:p w14:paraId="42E6610A">
            <w:pPr>
              <w:jc w:val="center"/>
              <w:rPr>
                <w:rFonts w:hint="eastAsia" w:ascii="宋体" w:hAnsi="宋体" w:cs="宋体"/>
                <w:sz w:val="24"/>
                <w:highlight w:val="none"/>
              </w:rPr>
            </w:pPr>
          </w:p>
        </w:tc>
      </w:tr>
    </w:tbl>
    <w:p w14:paraId="6A7FFE06">
      <w:pPr>
        <w:pStyle w:val="4"/>
        <w:rPr>
          <w:rFonts w:hint="eastAsia" w:ascii="宋体" w:hAnsi="宋体"/>
          <w:bCs/>
          <w:sz w:val="24"/>
          <w:szCs w:val="21"/>
          <w:highlight w:val="none"/>
        </w:rPr>
      </w:pPr>
      <w:bookmarkStart w:id="139" w:name="_Toc7050"/>
      <w:r>
        <w:rPr>
          <w:rFonts w:hint="eastAsia" w:ascii="宋体" w:hAnsi="宋体"/>
          <w:bCs/>
          <w:sz w:val="24"/>
          <w:szCs w:val="21"/>
          <w:highlight w:val="none"/>
        </w:rPr>
        <w:t>附件十：中小企业声明函</w:t>
      </w:r>
      <w:bookmarkEnd w:id="137"/>
      <w:bookmarkEnd w:id="139"/>
    </w:p>
    <w:p w14:paraId="7E6EAABE">
      <w:pPr>
        <w:jc w:val="center"/>
        <w:rPr>
          <w:rFonts w:ascii="宋体" w:hAnsi="宋体"/>
          <w:kern w:val="0"/>
          <w:sz w:val="36"/>
          <w:highlight w:val="none"/>
        </w:rPr>
      </w:pPr>
      <w:r>
        <w:rPr>
          <w:rFonts w:hint="eastAsia" w:ascii="宋体" w:hAnsi="宋体"/>
          <w:b/>
          <w:spacing w:val="1"/>
          <w:kern w:val="0"/>
          <w:sz w:val="36"/>
          <w:highlight w:val="none"/>
        </w:rPr>
        <w:t>中小企业声明函（工程、服务）</w:t>
      </w:r>
    </w:p>
    <w:p w14:paraId="3DFB505A">
      <w:pPr>
        <w:kinsoku w:val="0"/>
        <w:overflowPunct w:val="0"/>
        <w:autoSpaceDE w:val="0"/>
        <w:autoSpaceDN w:val="0"/>
        <w:adjustRightInd w:val="0"/>
        <w:spacing w:before="2"/>
        <w:jc w:val="left"/>
        <w:rPr>
          <w:rFonts w:ascii="宋体" w:hAnsi="宋体"/>
          <w:b/>
          <w:kern w:val="0"/>
          <w:sz w:val="47"/>
          <w:highlight w:val="none"/>
        </w:rPr>
      </w:pPr>
    </w:p>
    <w:p w14:paraId="1F8835B0">
      <w:pPr>
        <w:kinsoku w:val="0"/>
        <w:overflowPunct w:val="0"/>
        <w:autoSpaceDE w:val="0"/>
        <w:autoSpaceDN w:val="0"/>
        <w:adjustRightInd w:val="0"/>
        <w:spacing w:line="360" w:lineRule="auto"/>
        <w:ind w:left="120" w:right="116" w:firstLine="640"/>
        <w:jc w:val="left"/>
        <w:rPr>
          <w:rFonts w:ascii="宋体" w:hAnsi="宋体"/>
          <w:kern w:val="0"/>
          <w:sz w:val="24"/>
          <w:highlight w:val="none"/>
        </w:rPr>
      </w:pPr>
      <w:r>
        <w:rPr>
          <w:rFonts w:hint="eastAsia" w:ascii="宋体" w:hAnsi="宋体"/>
          <w:kern w:val="0"/>
          <w:sz w:val="24"/>
          <w:highlight w:val="none"/>
        </w:rPr>
        <w:t>本公司（联合体）郑重声明，根据《政府采购促进中小</w:t>
      </w:r>
      <w:r>
        <w:rPr>
          <w:rFonts w:ascii="宋体" w:hAnsi="宋体"/>
          <w:kern w:val="0"/>
          <w:sz w:val="24"/>
          <w:highlight w:val="none"/>
        </w:rPr>
        <w:t xml:space="preserve"> </w:t>
      </w:r>
      <w:r>
        <w:rPr>
          <w:rFonts w:hint="eastAsia" w:ascii="宋体" w:hAnsi="宋体"/>
          <w:kern w:val="0"/>
          <w:sz w:val="24"/>
          <w:highlight w:val="none"/>
        </w:rPr>
        <w:t>企业发展管理办法》（财库﹝</w:t>
      </w:r>
      <w:r>
        <w:rPr>
          <w:rFonts w:ascii="宋体" w:hAnsi="宋体"/>
          <w:kern w:val="0"/>
          <w:sz w:val="24"/>
          <w:highlight w:val="none"/>
        </w:rPr>
        <w:t>2020</w:t>
      </w:r>
      <w:r>
        <w:rPr>
          <w:rFonts w:hint="eastAsia" w:ascii="宋体" w:hAnsi="宋体"/>
          <w:kern w:val="0"/>
          <w:sz w:val="24"/>
          <w:highlight w:val="none"/>
        </w:rPr>
        <w:t>﹞</w:t>
      </w:r>
      <w:r>
        <w:rPr>
          <w:rFonts w:ascii="宋体" w:hAnsi="宋体"/>
          <w:kern w:val="0"/>
          <w:sz w:val="24"/>
          <w:highlight w:val="none"/>
        </w:rPr>
        <w:t xml:space="preserve">46  </w:t>
      </w:r>
      <w:r>
        <w:rPr>
          <w:rFonts w:hint="eastAsia" w:ascii="宋体" w:hAnsi="宋体"/>
          <w:kern w:val="0"/>
          <w:sz w:val="24"/>
          <w:highlight w:val="none"/>
        </w:rPr>
        <w:t>号）的规定，本公司（联合体）参加</w:t>
      </w:r>
      <w:r>
        <w:rPr>
          <w:rFonts w:hint="eastAsia" w:ascii="宋体" w:hAnsi="宋体"/>
          <w:i/>
          <w:kern w:val="0"/>
          <w:sz w:val="24"/>
          <w:highlight w:val="none"/>
          <w:u w:val="single"/>
        </w:rPr>
        <w:t>（单位名称）</w:t>
      </w:r>
      <w:r>
        <w:rPr>
          <w:rFonts w:hint="eastAsia" w:ascii="宋体" w:hAnsi="宋体"/>
          <w:kern w:val="0"/>
          <w:sz w:val="24"/>
          <w:highlight w:val="none"/>
        </w:rPr>
        <w:t>的</w:t>
      </w:r>
      <w:r>
        <w:rPr>
          <w:rFonts w:hint="eastAsia" w:ascii="宋体" w:hAnsi="宋体"/>
          <w:i/>
          <w:kern w:val="0"/>
          <w:sz w:val="24"/>
          <w:highlight w:val="none"/>
          <w:u w:val="single"/>
        </w:rPr>
        <w:t>（项目名称）</w:t>
      </w:r>
      <w:r>
        <w:rPr>
          <w:rFonts w:hint="eastAsia" w:ascii="宋体" w:hAnsi="宋体"/>
          <w:kern w:val="0"/>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57A3E1A7">
      <w:pPr>
        <w:tabs>
          <w:tab w:val="left" w:pos="1706"/>
          <w:tab w:val="left" w:pos="4185"/>
          <w:tab w:val="left" w:pos="7193"/>
        </w:tabs>
        <w:kinsoku w:val="0"/>
        <w:overflowPunct w:val="0"/>
        <w:autoSpaceDE w:val="0"/>
        <w:autoSpaceDN w:val="0"/>
        <w:adjustRightInd w:val="0"/>
        <w:spacing w:before="11" w:line="360" w:lineRule="auto"/>
        <w:ind w:left="105" w:right="116" w:firstLine="655"/>
        <w:jc w:val="left"/>
        <w:rPr>
          <w:rFonts w:ascii="宋体" w:hAnsi="宋体"/>
          <w:kern w:val="0"/>
          <w:sz w:val="24"/>
          <w:highlight w:val="none"/>
        </w:rPr>
      </w:pPr>
      <w:r>
        <w:rPr>
          <w:rFonts w:ascii="宋体" w:hAnsi="宋体"/>
          <w:kern w:val="0"/>
          <w:sz w:val="24"/>
          <w:highlight w:val="none"/>
        </w:rPr>
        <w:t xml:space="preserve">1. </w:t>
      </w:r>
      <w:r>
        <w:rPr>
          <w:rFonts w:hint="eastAsia" w:ascii="宋体" w:hAnsi="宋体"/>
          <w:b/>
          <w:bCs/>
          <w:i/>
          <w:kern w:val="0"/>
          <w:sz w:val="24"/>
          <w:highlight w:val="none"/>
          <w:u w:val="single"/>
        </w:rPr>
        <w:t>（标的名称）</w:t>
      </w:r>
      <w:r>
        <w:rPr>
          <w:rFonts w:hint="eastAsia" w:ascii="宋体" w:hAnsi="宋体"/>
          <w:kern w:val="0"/>
          <w:sz w:val="24"/>
          <w:highlight w:val="none"/>
        </w:rPr>
        <w:t>，属于</w:t>
      </w:r>
      <w:r>
        <w:rPr>
          <w:rFonts w:hint="eastAsia" w:ascii="宋体" w:hAnsi="宋体"/>
          <w:b/>
          <w:bCs/>
          <w:i/>
          <w:kern w:val="0"/>
          <w:sz w:val="24"/>
          <w:highlight w:val="none"/>
          <w:u w:val="single"/>
        </w:rPr>
        <w:t>（采购文件中明确的所属行业）</w:t>
      </w:r>
      <w:r>
        <w:rPr>
          <w:rFonts w:hint="eastAsia" w:ascii="宋体" w:hAnsi="宋体"/>
          <w:kern w:val="0"/>
          <w:sz w:val="24"/>
          <w:highlight w:val="none"/>
        </w:rPr>
        <w:t>；</w:t>
      </w:r>
      <w:r>
        <w:rPr>
          <w:rFonts w:ascii="宋体" w:hAnsi="宋体"/>
          <w:kern w:val="0"/>
          <w:sz w:val="24"/>
          <w:highlight w:val="none"/>
        </w:rPr>
        <w:t xml:space="preserve"> </w:t>
      </w:r>
      <w:r>
        <w:rPr>
          <w:rFonts w:hint="eastAsia" w:ascii="宋体" w:hAnsi="宋体"/>
          <w:kern w:val="0"/>
          <w:sz w:val="24"/>
          <w:highlight w:val="none"/>
        </w:rPr>
        <w:t>承建（承接）企业为</w:t>
      </w:r>
      <w:r>
        <w:rPr>
          <w:rFonts w:hint="eastAsia" w:ascii="宋体" w:hAnsi="宋体"/>
          <w:b/>
          <w:bCs/>
          <w:i/>
          <w:kern w:val="0"/>
          <w:sz w:val="24"/>
          <w:highlight w:val="none"/>
          <w:u w:val="single"/>
        </w:rPr>
        <w:t>（企业名称）</w:t>
      </w:r>
      <w:r>
        <w:rPr>
          <w:rFonts w:hint="eastAsia" w:ascii="宋体" w:hAnsi="宋体"/>
          <w:kern w:val="0"/>
          <w:sz w:val="24"/>
          <w:highlight w:val="none"/>
        </w:rPr>
        <w:t>，从业人员</w:t>
      </w:r>
      <w:r>
        <w:rPr>
          <w:rFonts w:ascii="宋体" w:hAnsi="宋体"/>
          <w:kern w:val="0"/>
          <w:sz w:val="24"/>
          <w:highlight w:val="none"/>
          <w:u w:val="single"/>
        </w:rPr>
        <w:tab/>
      </w:r>
      <w:r>
        <w:rPr>
          <w:rFonts w:hint="eastAsia" w:ascii="宋体" w:hAnsi="宋体"/>
          <w:kern w:val="0"/>
          <w:sz w:val="24"/>
          <w:highlight w:val="none"/>
        </w:rPr>
        <w:t>人，营业</w:t>
      </w:r>
      <w:r>
        <w:rPr>
          <w:rFonts w:ascii="宋体" w:hAnsi="宋体"/>
          <w:kern w:val="0"/>
          <w:sz w:val="24"/>
          <w:highlight w:val="none"/>
        </w:rPr>
        <w:t xml:space="preserve"> </w:t>
      </w:r>
      <w:r>
        <w:rPr>
          <w:rFonts w:hint="eastAsia" w:ascii="宋体" w:hAnsi="宋体"/>
          <w:kern w:val="0"/>
          <w:sz w:val="24"/>
          <w:highlight w:val="none"/>
        </w:rPr>
        <w:t>收入为</w:t>
      </w:r>
      <w:r>
        <w:rPr>
          <w:rFonts w:ascii="宋体" w:hAnsi="宋体"/>
          <w:kern w:val="0"/>
          <w:sz w:val="24"/>
          <w:highlight w:val="none"/>
          <w:u w:val="single"/>
        </w:rPr>
        <w:tab/>
      </w:r>
      <w:r>
        <w:rPr>
          <w:rFonts w:hint="eastAsia" w:ascii="宋体" w:hAnsi="宋体"/>
          <w:kern w:val="0"/>
          <w:sz w:val="24"/>
          <w:highlight w:val="none"/>
        </w:rPr>
        <w:t>万元，资产总额为</w:t>
      </w:r>
      <w:r>
        <w:rPr>
          <w:rFonts w:ascii="宋体" w:hAnsi="宋体"/>
          <w:kern w:val="0"/>
          <w:sz w:val="24"/>
          <w:highlight w:val="none"/>
          <w:u w:val="single"/>
        </w:rPr>
        <w:tab/>
      </w:r>
      <w:r>
        <w:rPr>
          <w:rFonts w:ascii="宋体" w:hAnsi="宋体"/>
          <w:kern w:val="0"/>
          <w:sz w:val="24"/>
          <w:highlight w:val="none"/>
          <w:u w:val="single"/>
        </w:rPr>
        <w:t xml:space="preserve"> </w:t>
      </w:r>
      <w:r>
        <w:rPr>
          <w:rFonts w:hint="eastAsia" w:ascii="宋体" w:hAnsi="宋体"/>
          <w:kern w:val="0"/>
          <w:sz w:val="24"/>
          <w:highlight w:val="none"/>
        </w:rPr>
        <w:t>万元，属于</w:t>
      </w:r>
      <w:r>
        <w:rPr>
          <w:rFonts w:hint="eastAsia" w:ascii="宋体" w:hAnsi="宋体"/>
          <w:i/>
          <w:kern w:val="0"/>
          <w:sz w:val="24"/>
          <w:highlight w:val="none"/>
          <w:u w:val="single"/>
        </w:rPr>
        <w:t>（中型企业、</w:t>
      </w:r>
      <w:r>
        <w:rPr>
          <w:rFonts w:ascii="宋体" w:hAnsi="宋体"/>
          <w:i/>
          <w:kern w:val="0"/>
          <w:sz w:val="24"/>
          <w:highlight w:val="none"/>
        </w:rPr>
        <w:t xml:space="preserve"> </w:t>
      </w:r>
      <w:r>
        <w:rPr>
          <w:rFonts w:hint="eastAsia" w:ascii="宋体" w:hAnsi="宋体"/>
          <w:i/>
          <w:kern w:val="0"/>
          <w:sz w:val="24"/>
          <w:highlight w:val="none"/>
          <w:u w:val="single"/>
        </w:rPr>
        <w:t>小型企业、微型企业）</w:t>
      </w:r>
      <w:r>
        <w:rPr>
          <w:rFonts w:hint="eastAsia" w:ascii="宋体" w:hAnsi="宋体"/>
          <w:kern w:val="0"/>
          <w:sz w:val="24"/>
          <w:highlight w:val="none"/>
        </w:rPr>
        <w:t>；</w:t>
      </w:r>
    </w:p>
    <w:p w14:paraId="0A53BBB7">
      <w:pPr>
        <w:tabs>
          <w:tab w:val="left" w:pos="1706"/>
          <w:tab w:val="left" w:pos="4905"/>
          <w:tab w:val="left" w:pos="7193"/>
        </w:tabs>
        <w:kinsoku w:val="0"/>
        <w:overflowPunct w:val="0"/>
        <w:autoSpaceDE w:val="0"/>
        <w:autoSpaceDN w:val="0"/>
        <w:adjustRightInd w:val="0"/>
        <w:spacing w:before="21" w:line="360" w:lineRule="auto"/>
        <w:ind w:left="105" w:right="138" w:firstLine="655"/>
        <w:jc w:val="left"/>
        <w:rPr>
          <w:rFonts w:ascii="宋体" w:hAnsi="宋体"/>
          <w:kern w:val="0"/>
          <w:sz w:val="24"/>
          <w:highlight w:val="none"/>
        </w:rPr>
      </w:pPr>
      <w:r>
        <w:rPr>
          <w:rFonts w:ascii="宋体" w:hAnsi="宋体"/>
          <w:kern w:val="0"/>
          <w:sz w:val="24"/>
          <w:highlight w:val="none"/>
        </w:rPr>
        <w:t xml:space="preserve">2. </w:t>
      </w:r>
      <w:r>
        <w:rPr>
          <w:rFonts w:hint="eastAsia" w:ascii="宋体" w:hAnsi="宋体"/>
          <w:i/>
          <w:kern w:val="0"/>
          <w:sz w:val="24"/>
          <w:highlight w:val="none"/>
          <w:u w:val="single"/>
        </w:rPr>
        <w:t>（标的名称）</w:t>
      </w:r>
      <w:r>
        <w:rPr>
          <w:rFonts w:hint="eastAsia" w:ascii="宋体" w:hAnsi="宋体"/>
          <w:kern w:val="0"/>
          <w:sz w:val="24"/>
          <w:highlight w:val="none"/>
        </w:rPr>
        <w:t>，属于</w:t>
      </w:r>
      <w:r>
        <w:rPr>
          <w:rFonts w:hint="eastAsia" w:ascii="宋体" w:hAnsi="宋体"/>
          <w:i/>
          <w:kern w:val="0"/>
          <w:sz w:val="24"/>
          <w:highlight w:val="none"/>
          <w:u w:val="single"/>
        </w:rPr>
        <w:t>（采购文件中明确的所属行业）</w:t>
      </w:r>
      <w:r>
        <w:rPr>
          <w:rFonts w:hint="eastAsia" w:ascii="宋体" w:hAnsi="宋体"/>
          <w:kern w:val="0"/>
          <w:sz w:val="24"/>
          <w:highlight w:val="none"/>
        </w:rPr>
        <w:t>；</w:t>
      </w:r>
      <w:r>
        <w:rPr>
          <w:rFonts w:ascii="宋体" w:hAnsi="宋体"/>
          <w:kern w:val="0"/>
          <w:sz w:val="24"/>
          <w:highlight w:val="none"/>
        </w:rPr>
        <w:t xml:space="preserve"> </w:t>
      </w:r>
      <w:r>
        <w:rPr>
          <w:rFonts w:hint="eastAsia" w:ascii="宋体" w:hAnsi="宋体"/>
          <w:kern w:val="0"/>
          <w:sz w:val="24"/>
          <w:highlight w:val="none"/>
        </w:rPr>
        <w:t>承建（承接）企业为</w:t>
      </w:r>
      <w:r>
        <w:rPr>
          <w:rFonts w:hint="eastAsia" w:ascii="宋体" w:hAnsi="宋体"/>
          <w:i/>
          <w:kern w:val="0"/>
          <w:sz w:val="24"/>
          <w:highlight w:val="none"/>
          <w:u w:val="single"/>
        </w:rPr>
        <w:t>（企业名称）</w:t>
      </w:r>
      <w:r>
        <w:rPr>
          <w:rFonts w:hint="eastAsia" w:ascii="宋体" w:hAnsi="宋体"/>
          <w:kern w:val="0"/>
          <w:sz w:val="24"/>
          <w:highlight w:val="none"/>
        </w:rPr>
        <w:t>，从业人员</w:t>
      </w:r>
      <w:r>
        <w:rPr>
          <w:rFonts w:ascii="宋体" w:hAnsi="宋体"/>
          <w:kern w:val="0"/>
          <w:sz w:val="24"/>
          <w:highlight w:val="none"/>
          <w:u w:val="single"/>
        </w:rPr>
        <w:tab/>
      </w:r>
      <w:r>
        <w:rPr>
          <w:rFonts w:hint="eastAsia" w:ascii="宋体" w:hAnsi="宋体"/>
          <w:kern w:val="0"/>
          <w:sz w:val="24"/>
          <w:highlight w:val="none"/>
        </w:rPr>
        <w:t>人，营业</w:t>
      </w:r>
      <w:r>
        <w:rPr>
          <w:rFonts w:ascii="宋体" w:hAnsi="宋体"/>
          <w:kern w:val="0"/>
          <w:sz w:val="24"/>
          <w:highlight w:val="none"/>
        </w:rPr>
        <w:t xml:space="preserve"> </w:t>
      </w:r>
      <w:r>
        <w:rPr>
          <w:rFonts w:hint="eastAsia" w:ascii="宋体" w:hAnsi="宋体"/>
          <w:kern w:val="0"/>
          <w:sz w:val="24"/>
          <w:highlight w:val="none"/>
        </w:rPr>
        <w:t>收入为</w:t>
      </w:r>
      <w:r>
        <w:rPr>
          <w:rFonts w:ascii="宋体" w:hAnsi="宋体"/>
          <w:kern w:val="0"/>
          <w:sz w:val="24"/>
          <w:highlight w:val="none"/>
          <w:u w:val="single"/>
        </w:rPr>
        <w:tab/>
      </w:r>
      <w:r>
        <w:rPr>
          <w:rFonts w:hint="eastAsia" w:ascii="宋体" w:hAnsi="宋体"/>
          <w:kern w:val="0"/>
          <w:sz w:val="24"/>
          <w:highlight w:val="none"/>
        </w:rPr>
        <w:t>万元，资产总额为</w:t>
      </w:r>
      <w:r>
        <w:rPr>
          <w:rFonts w:ascii="宋体" w:hAnsi="宋体"/>
          <w:kern w:val="0"/>
          <w:sz w:val="24"/>
          <w:highlight w:val="none"/>
          <w:u w:val="single"/>
        </w:rPr>
        <w:tab/>
      </w:r>
      <w:r>
        <w:rPr>
          <w:rFonts w:ascii="宋体" w:hAnsi="宋体"/>
          <w:kern w:val="0"/>
          <w:sz w:val="24"/>
          <w:highlight w:val="none"/>
          <w:u w:val="single"/>
        </w:rPr>
        <w:t xml:space="preserve"> </w:t>
      </w:r>
      <w:r>
        <w:rPr>
          <w:rFonts w:hint="eastAsia" w:ascii="宋体" w:hAnsi="宋体"/>
          <w:kern w:val="0"/>
          <w:sz w:val="24"/>
          <w:highlight w:val="none"/>
        </w:rPr>
        <w:t>万元，属于</w:t>
      </w:r>
      <w:r>
        <w:rPr>
          <w:rFonts w:hint="eastAsia" w:ascii="宋体" w:hAnsi="宋体"/>
          <w:i/>
          <w:kern w:val="0"/>
          <w:sz w:val="24"/>
          <w:highlight w:val="none"/>
          <w:u w:val="single"/>
        </w:rPr>
        <w:t>（中型企业、</w:t>
      </w:r>
      <w:r>
        <w:rPr>
          <w:rFonts w:ascii="宋体" w:hAnsi="宋体"/>
          <w:i/>
          <w:kern w:val="0"/>
          <w:sz w:val="24"/>
          <w:highlight w:val="none"/>
        </w:rPr>
        <w:t xml:space="preserve"> </w:t>
      </w:r>
      <w:r>
        <w:rPr>
          <w:rFonts w:hint="eastAsia" w:ascii="宋体" w:hAnsi="宋体"/>
          <w:i/>
          <w:kern w:val="0"/>
          <w:sz w:val="24"/>
          <w:highlight w:val="none"/>
          <w:u w:val="single"/>
        </w:rPr>
        <w:t>小型企业、微型企业）</w:t>
      </w:r>
      <w:r>
        <w:rPr>
          <w:rFonts w:hint="eastAsia" w:ascii="宋体" w:hAnsi="宋体"/>
          <w:kern w:val="0"/>
          <w:sz w:val="24"/>
          <w:highlight w:val="none"/>
        </w:rPr>
        <w:t>；</w:t>
      </w:r>
    </w:p>
    <w:p w14:paraId="2C48FB37">
      <w:pPr>
        <w:kinsoku w:val="0"/>
        <w:overflowPunct w:val="0"/>
        <w:autoSpaceDE w:val="0"/>
        <w:autoSpaceDN w:val="0"/>
        <w:adjustRightInd w:val="0"/>
        <w:spacing w:before="33" w:line="360" w:lineRule="auto"/>
        <w:ind w:right="116" w:firstLine="480" w:firstLineChars="200"/>
        <w:jc w:val="left"/>
        <w:rPr>
          <w:rFonts w:ascii="宋体" w:hAnsi="宋体"/>
          <w:kern w:val="0"/>
          <w:sz w:val="24"/>
          <w:highlight w:val="none"/>
        </w:rPr>
      </w:pPr>
      <w:r>
        <w:rPr>
          <w:rFonts w:hint="eastAsia" w:ascii="宋体" w:hAnsi="宋体"/>
          <w:kern w:val="0"/>
          <w:sz w:val="24"/>
          <w:highlight w:val="none"/>
        </w:rPr>
        <w:t>……</w:t>
      </w:r>
      <w:r>
        <w:rPr>
          <w:rFonts w:ascii="宋体" w:hAnsi="宋体"/>
          <w:kern w:val="0"/>
          <w:sz w:val="24"/>
          <w:highlight w:val="none"/>
        </w:rPr>
        <w:t xml:space="preserve"> </w:t>
      </w:r>
      <w:r>
        <w:rPr>
          <w:rFonts w:hint="eastAsia" w:ascii="宋体" w:hAnsi="宋体"/>
          <w:kern w:val="0"/>
          <w:sz w:val="24"/>
          <w:highlight w:val="none"/>
        </w:rPr>
        <w:t>以上企业，不属于大企业的分支机构，不存在控股股东为大企业的情形，也不存在与大企业的负责人为同一人的情形。</w:t>
      </w:r>
    </w:p>
    <w:p w14:paraId="7A993FBB">
      <w:pPr>
        <w:kinsoku w:val="0"/>
        <w:overflowPunct w:val="0"/>
        <w:autoSpaceDE w:val="0"/>
        <w:autoSpaceDN w:val="0"/>
        <w:adjustRightInd w:val="0"/>
        <w:spacing w:before="21" w:line="360" w:lineRule="auto"/>
        <w:ind w:left="120" w:right="116" w:firstLine="640"/>
        <w:jc w:val="left"/>
        <w:rPr>
          <w:rFonts w:ascii="宋体" w:hAnsi="宋体"/>
          <w:kern w:val="0"/>
          <w:sz w:val="32"/>
          <w:highlight w:val="none"/>
        </w:rPr>
      </w:pPr>
      <w:r>
        <w:rPr>
          <w:rFonts w:hint="eastAsia" w:ascii="宋体" w:hAnsi="宋体"/>
          <w:kern w:val="0"/>
          <w:sz w:val="24"/>
          <w:highlight w:val="none"/>
        </w:rPr>
        <w:t>本企业对上述声明内容的真实性负责。如有虚假，将依</w:t>
      </w:r>
      <w:r>
        <w:rPr>
          <w:rFonts w:ascii="宋体" w:hAnsi="宋体"/>
          <w:kern w:val="0"/>
          <w:sz w:val="24"/>
          <w:highlight w:val="none"/>
        </w:rPr>
        <w:t xml:space="preserve"> </w:t>
      </w:r>
      <w:r>
        <w:rPr>
          <w:rFonts w:hint="eastAsia" w:ascii="宋体" w:hAnsi="宋体"/>
          <w:kern w:val="0"/>
          <w:sz w:val="24"/>
          <w:highlight w:val="none"/>
        </w:rPr>
        <w:t>法承担相应责任。</w:t>
      </w:r>
    </w:p>
    <w:p w14:paraId="05F14C25">
      <w:pPr>
        <w:spacing w:line="360" w:lineRule="auto"/>
        <w:ind w:firstLine="6120" w:firstLineChars="2550"/>
        <w:rPr>
          <w:rFonts w:ascii="宋体" w:hAnsi="宋体"/>
          <w:kern w:val="0"/>
          <w:sz w:val="24"/>
          <w:highlight w:val="none"/>
        </w:rPr>
      </w:pPr>
      <w:r>
        <w:rPr>
          <w:rFonts w:hint="eastAsia" w:ascii="宋体" w:hAnsi="宋体"/>
          <w:kern w:val="0"/>
          <w:sz w:val="24"/>
          <w:highlight w:val="none"/>
        </w:rPr>
        <w:t>企业名称（盖章）：</w:t>
      </w:r>
      <w:r>
        <w:rPr>
          <w:rFonts w:ascii="宋体" w:hAnsi="宋体"/>
          <w:kern w:val="0"/>
          <w:sz w:val="24"/>
          <w:highlight w:val="none"/>
        </w:rPr>
        <w:t xml:space="preserve"> </w:t>
      </w:r>
    </w:p>
    <w:p w14:paraId="147AC4A1">
      <w:pPr>
        <w:spacing w:line="360" w:lineRule="auto"/>
        <w:ind w:firstLine="6120" w:firstLineChars="2550"/>
        <w:rPr>
          <w:rFonts w:ascii="宋体" w:hAnsi="宋体"/>
          <w:sz w:val="24"/>
          <w:highlight w:val="none"/>
        </w:rPr>
      </w:pPr>
      <w:r>
        <w:rPr>
          <w:rFonts w:hint="eastAsia" w:ascii="宋体" w:hAnsi="宋体"/>
          <w:kern w:val="0"/>
          <w:sz w:val="24"/>
          <w:highlight w:val="none"/>
        </w:rPr>
        <w:t>日</w:t>
      </w:r>
      <w:r>
        <w:rPr>
          <w:rFonts w:ascii="宋体" w:hAnsi="宋体"/>
          <w:spacing w:val="-98"/>
          <w:kern w:val="0"/>
          <w:sz w:val="24"/>
          <w:highlight w:val="none"/>
        </w:rPr>
        <w:t xml:space="preserve"> </w:t>
      </w:r>
      <w:r>
        <w:rPr>
          <w:rFonts w:hint="eastAsia" w:ascii="宋体" w:hAnsi="宋体"/>
          <w:kern w:val="0"/>
          <w:sz w:val="24"/>
          <w:highlight w:val="none"/>
        </w:rPr>
        <w:t>期：</w:t>
      </w:r>
    </w:p>
    <w:p w14:paraId="308B7677">
      <w:pPr>
        <w:pStyle w:val="172"/>
        <w:spacing w:line="360" w:lineRule="auto"/>
        <w:ind w:firstLine="482" w:firstLineChars="200"/>
        <w:rPr>
          <w:rFonts w:hint="eastAsia"/>
          <w:color w:val="auto"/>
          <w:highlight w:val="none"/>
        </w:rPr>
      </w:pPr>
      <w:r>
        <w:rPr>
          <w:rFonts w:hint="eastAsia"/>
          <w:b/>
          <w:bCs/>
          <w:color w:val="auto"/>
          <w:highlight w:val="none"/>
        </w:rPr>
        <w:t>注：</w:t>
      </w:r>
      <w:r>
        <w:rPr>
          <w:rFonts w:hint="eastAsia"/>
          <w:color w:val="auto"/>
          <w:highlight w:val="none"/>
        </w:rPr>
        <w:t>1、从业人员、营业收入、资产总额填报上一年度数据，无上一年度数据的新成立企业可不填报。</w:t>
      </w:r>
    </w:p>
    <w:p w14:paraId="47520434">
      <w:pPr>
        <w:spacing w:line="360" w:lineRule="auto"/>
        <w:ind w:firstLine="964" w:firstLineChars="400"/>
        <w:rPr>
          <w:b/>
          <w:bCs/>
          <w:sz w:val="24"/>
          <w:highlight w:val="none"/>
        </w:rPr>
      </w:pPr>
      <w:r>
        <w:rPr>
          <w:rFonts w:hint="eastAsia"/>
          <w:b/>
          <w:bCs/>
          <w:sz w:val="24"/>
          <w:highlight w:val="none"/>
        </w:rPr>
        <w:t>2、不符合相应条件的供应商无需提供。</w:t>
      </w:r>
    </w:p>
    <w:p w14:paraId="756374DD">
      <w:pPr>
        <w:spacing w:line="360" w:lineRule="auto"/>
        <w:outlineLvl w:val="2"/>
        <w:rPr>
          <w:rFonts w:hint="eastAsia" w:ascii="宋体" w:hAnsi="宋体"/>
          <w:b/>
          <w:sz w:val="24"/>
          <w:szCs w:val="21"/>
          <w:highlight w:val="none"/>
        </w:rPr>
      </w:pPr>
      <w:r>
        <w:rPr>
          <w:b/>
          <w:bCs/>
          <w:sz w:val="24"/>
          <w:highlight w:val="none"/>
        </w:rPr>
        <w:br w:type="page"/>
      </w:r>
      <w:bookmarkStart w:id="140" w:name="_Toc470090775"/>
      <w:bookmarkStart w:id="141" w:name="_Toc19348"/>
      <w:bookmarkStart w:id="142" w:name="_Toc444769214"/>
      <w:bookmarkStart w:id="143" w:name="_Toc22595"/>
      <w:r>
        <w:rPr>
          <w:rFonts w:hint="eastAsia" w:ascii="宋体" w:hAnsi="宋体"/>
          <w:b/>
          <w:sz w:val="24"/>
          <w:szCs w:val="21"/>
          <w:highlight w:val="none"/>
        </w:rPr>
        <w:t>附件十一、</w:t>
      </w:r>
      <w:bookmarkEnd w:id="140"/>
      <w:bookmarkEnd w:id="141"/>
      <w:bookmarkEnd w:id="142"/>
      <w:r>
        <w:rPr>
          <w:rFonts w:hint="eastAsia" w:ascii="宋体" w:hAnsi="宋体"/>
          <w:b/>
          <w:sz w:val="24"/>
          <w:szCs w:val="21"/>
          <w:highlight w:val="none"/>
        </w:rPr>
        <w:t>残疾人福利性单位声明函（如有）</w:t>
      </w:r>
      <w:bookmarkEnd w:id="143"/>
    </w:p>
    <w:p w14:paraId="575FFDB5">
      <w:pPr>
        <w:spacing w:line="360" w:lineRule="auto"/>
        <w:jc w:val="center"/>
        <w:rPr>
          <w:rFonts w:ascii="宋体" w:hAnsi="宋体" w:cs="宋体"/>
          <w:b/>
          <w:spacing w:val="6"/>
          <w:sz w:val="30"/>
          <w:szCs w:val="30"/>
          <w:highlight w:val="none"/>
        </w:rPr>
      </w:pPr>
    </w:p>
    <w:p w14:paraId="25F9A14E">
      <w:pPr>
        <w:spacing w:line="360" w:lineRule="auto"/>
        <w:jc w:val="center"/>
        <w:rPr>
          <w:rFonts w:ascii="宋体" w:hAnsi="宋体" w:cs="宋体"/>
          <w:b/>
          <w:spacing w:val="6"/>
          <w:sz w:val="30"/>
          <w:szCs w:val="30"/>
          <w:highlight w:val="none"/>
        </w:rPr>
      </w:pPr>
      <w:r>
        <w:rPr>
          <w:rFonts w:hint="eastAsia" w:ascii="宋体" w:hAnsi="宋体" w:cs="宋体"/>
          <w:b/>
          <w:spacing w:val="6"/>
          <w:sz w:val="30"/>
          <w:szCs w:val="30"/>
          <w:highlight w:val="none"/>
        </w:rPr>
        <w:t>残疾人福利性单位声明函</w:t>
      </w:r>
    </w:p>
    <w:p w14:paraId="3F55F7DC">
      <w:pPr>
        <w:spacing w:line="360" w:lineRule="auto"/>
        <w:rPr>
          <w:rFonts w:ascii="宋体" w:hAnsi="宋体"/>
          <w:b/>
          <w:spacing w:val="6"/>
          <w:sz w:val="30"/>
          <w:szCs w:val="30"/>
          <w:highlight w:val="none"/>
        </w:rPr>
      </w:pPr>
    </w:p>
    <w:p w14:paraId="0BFF11D4">
      <w:pPr>
        <w:spacing w:line="360" w:lineRule="auto"/>
        <w:ind w:firstLine="504" w:firstLineChars="200"/>
        <w:rPr>
          <w:rFonts w:ascii="宋体" w:hAnsi="宋体" w:cs="宋体"/>
          <w:spacing w:val="6"/>
          <w:sz w:val="24"/>
          <w:highlight w:val="none"/>
        </w:rPr>
      </w:pPr>
      <w:r>
        <w:rPr>
          <w:rFonts w:hint="eastAsia" w:ascii="宋体" w:hAnsi="宋体" w:cs="宋体"/>
          <w:spacing w:val="6"/>
          <w:sz w:val="24"/>
          <w:highlight w:val="none"/>
        </w:rPr>
        <w:t>本单位郑重声明，根据《财政部 民政部 中国残疾人联合会关于促进残疾人就业政府采购政策的通知》（财库</w:t>
      </w:r>
      <w:r>
        <w:rPr>
          <w:rFonts w:hint="eastAsia" w:ascii="宋体" w:hAnsi="宋体" w:cs="宋体"/>
          <w:sz w:val="24"/>
          <w:highlight w:val="none"/>
        </w:rPr>
        <w:t>〔2017〕 141</w:t>
      </w:r>
      <w:r>
        <w:rPr>
          <w:rFonts w:hint="eastAsia" w:ascii="宋体" w:hAnsi="宋体" w:cs="宋体"/>
          <w:spacing w:val="6"/>
          <w:sz w:val="24"/>
          <w:highlight w:val="none"/>
        </w:rPr>
        <w:t>号）的规定，本单位为符合条件的残疾人福利性单位，且本单位参加______单位的______项目采购活动提供本单位提供的服务），或者提供其他残疾人福利性单位提供的服务。</w:t>
      </w:r>
    </w:p>
    <w:p w14:paraId="41BE4272">
      <w:pPr>
        <w:spacing w:line="360" w:lineRule="auto"/>
        <w:ind w:firstLine="504" w:firstLineChars="200"/>
        <w:rPr>
          <w:rFonts w:ascii="宋体" w:hAnsi="宋体" w:cs="宋体"/>
          <w:spacing w:val="6"/>
          <w:sz w:val="24"/>
          <w:highlight w:val="none"/>
        </w:rPr>
      </w:pPr>
      <w:r>
        <w:rPr>
          <w:rFonts w:hint="eastAsia" w:ascii="宋体" w:hAnsi="宋体" w:cs="宋体"/>
          <w:spacing w:val="6"/>
          <w:sz w:val="24"/>
          <w:highlight w:val="none"/>
        </w:rPr>
        <w:t>本单位对上述声明的真实性负责。如有虚假，将依法承担相应责任。</w:t>
      </w:r>
    </w:p>
    <w:p w14:paraId="703EFA00">
      <w:pPr>
        <w:pStyle w:val="30"/>
        <w:spacing w:line="360" w:lineRule="auto"/>
        <w:rPr>
          <w:rFonts w:ascii="宋体" w:hAnsi="宋体"/>
          <w:highlight w:val="none"/>
        </w:rPr>
      </w:pPr>
    </w:p>
    <w:p w14:paraId="7E2C8CBD">
      <w:pPr>
        <w:pStyle w:val="30"/>
        <w:spacing w:line="360" w:lineRule="auto"/>
        <w:rPr>
          <w:rFonts w:ascii="宋体" w:hAnsi="宋体"/>
          <w:highlight w:val="none"/>
        </w:rPr>
      </w:pPr>
    </w:p>
    <w:p w14:paraId="4A35C2E6">
      <w:pPr>
        <w:spacing w:line="360" w:lineRule="auto"/>
        <w:jc w:val="left"/>
        <w:rPr>
          <w:rFonts w:ascii="宋体" w:hAnsi="宋体"/>
          <w:sz w:val="24"/>
          <w:highlight w:val="none"/>
        </w:rPr>
      </w:pPr>
      <w:r>
        <w:rPr>
          <w:rFonts w:hint="eastAsia" w:ascii="宋体" w:hAnsi="宋体"/>
          <w:sz w:val="24"/>
          <w:highlight w:val="none"/>
        </w:rPr>
        <w:t>供应商名称（盖章）：</w:t>
      </w:r>
    </w:p>
    <w:p w14:paraId="6B0CBE23">
      <w:pPr>
        <w:pStyle w:val="30"/>
        <w:spacing w:line="360" w:lineRule="auto"/>
        <w:rPr>
          <w:rFonts w:ascii="宋体" w:hAnsi="宋体"/>
          <w:highlight w:val="none"/>
        </w:rPr>
      </w:pPr>
    </w:p>
    <w:p w14:paraId="49F5E776">
      <w:pPr>
        <w:tabs>
          <w:tab w:val="left" w:pos="1490"/>
          <w:tab w:val="right" w:pos="9191"/>
        </w:tabs>
        <w:spacing w:line="360" w:lineRule="auto"/>
        <w:jc w:val="left"/>
        <w:rPr>
          <w:rFonts w:ascii="宋体" w:hAnsi="宋体"/>
          <w:sz w:val="24"/>
          <w:highlight w:val="none"/>
        </w:rPr>
      </w:pPr>
      <w:r>
        <w:rPr>
          <w:rFonts w:hint="eastAsia" w:ascii="宋体" w:hAnsi="宋体"/>
          <w:sz w:val="24"/>
          <w:highlight w:val="none"/>
        </w:rPr>
        <w:t>法定代表人或授权代理人签字或盖章：</w:t>
      </w:r>
      <w:r>
        <w:rPr>
          <w:rFonts w:hint="eastAsia" w:ascii="宋体" w:hAnsi="宋体"/>
          <w:sz w:val="24"/>
          <w:highlight w:val="none"/>
        </w:rPr>
        <w:tab/>
      </w:r>
    </w:p>
    <w:p w14:paraId="43BC4BF7">
      <w:pPr>
        <w:pStyle w:val="30"/>
        <w:spacing w:after="0" w:line="360" w:lineRule="auto"/>
        <w:ind w:left="6660" w:firstLine="480"/>
        <w:rPr>
          <w:rFonts w:ascii="宋体" w:hAnsi="宋体"/>
          <w:highlight w:val="none"/>
        </w:rPr>
      </w:pPr>
      <w:r>
        <w:rPr>
          <w:rFonts w:hint="eastAsia" w:ascii="宋体" w:hAnsi="宋体"/>
          <w:highlight w:val="none"/>
        </w:rPr>
        <w:t>年  月  日</w:t>
      </w:r>
    </w:p>
    <w:p w14:paraId="3B5102FF">
      <w:pPr>
        <w:tabs>
          <w:tab w:val="left" w:pos="1490"/>
          <w:tab w:val="right" w:pos="9191"/>
        </w:tabs>
        <w:spacing w:line="360" w:lineRule="auto"/>
        <w:ind w:firstLine="6360" w:firstLineChars="2650"/>
        <w:jc w:val="left"/>
        <w:rPr>
          <w:rFonts w:ascii="宋体" w:hAnsi="宋体"/>
          <w:sz w:val="24"/>
          <w:highlight w:val="none"/>
        </w:rPr>
      </w:pPr>
    </w:p>
    <w:p w14:paraId="7EB0453C">
      <w:pPr>
        <w:rPr>
          <w:b/>
          <w:bCs/>
          <w:sz w:val="24"/>
          <w:highlight w:val="none"/>
        </w:rPr>
      </w:pPr>
      <w:r>
        <w:rPr>
          <w:rFonts w:hint="eastAsia"/>
          <w:b/>
          <w:bCs/>
          <w:sz w:val="24"/>
          <w:highlight w:val="none"/>
        </w:rPr>
        <w:t>注：不符合相应条件的供应商无需提供。</w:t>
      </w:r>
    </w:p>
    <w:p w14:paraId="70664D27">
      <w:pPr>
        <w:pStyle w:val="4"/>
        <w:rPr>
          <w:rFonts w:ascii="宋体" w:hAnsi="宋体"/>
          <w:sz w:val="24"/>
          <w:szCs w:val="24"/>
          <w:highlight w:val="none"/>
        </w:rPr>
      </w:pPr>
      <w:bookmarkStart w:id="144" w:name="_Toc32651"/>
      <w:bookmarkStart w:id="145" w:name="_Toc34914134"/>
      <w:r>
        <w:rPr>
          <w:rFonts w:ascii="宋体" w:hAnsi="宋体"/>
          <w:b w:val="0"/>
          <w:sz w:val="24"/>
          <w:highlight w:val="none"/>
        </w:rPr>
        <w:br w:type="page"/>
      </w:r>
      <w:bookmarkStart w:id="146" w:name="_Toc16128"/>
      <w:r>
        <w:rPr>
          <w:rFonts w:hint="eastAsia" w:ascii="宋体" w:hAnsi="宋体"/>
          <w:sz w:val="24"/>
          <w:szCs w:val="24"/>
          <w:highlight w:val="none"/>
        </w:rPr>
        <w:t>附件十二、资格证明材料格式（参考）</w:t>
      </w:r>
      <w:bookmarkEnd w:id="144"/>
      <w:bookmarkEnd w:id="146"/>
    </w:p>
    <w:bookmarkEnd w:id="145"/>
    <w:p w14:paraId="7C4406A8">
      <w:pPr>
        <w:pStyle w:val="30"/>
        <w:numPr>
          <w:ilvl w:val="0"/>
          <w:numId w:val="13"/>
        </w:numPr>
        <w:rPr>
          <w:rFonts w:hint="eastAsia" w:hAnsi="宋体"/>
          <w:highlight w:val="none"/>
        </w:rPr>
      </w:pPr>
      <w:r>
        <w:rPr>
          <w:rFonts w:hint="eastAsia" w:hAnsi="宋体"/>
          <w:highlight w:val="none"/>
        </w:rPr>
        <w:t>法人或者其他组织的营业执照等证明文件或自然人的身份证明</w:t>
      </w:r>
    </w:p>
    <w:p w14:paraId="121059BF">
      <w:pPr>
        <w:pStyle w:val="30"/>
        <w:numPr>
          <w:ilvl w:val="0"/>
          <w:numId w:val="13"/>
        </w:numPr>
        <w:rPr>
          <w:rFonts w:hint="eastAsia" w:ascii="宋体" w:hAnsi="宋体" w:cs="宋体"/>
          <w:snapToGrid w:val="0"/>
          <w:highlight w:val="none"/>
        </w:rPr>
      </w:pPr>
      <w:r>
        <w:rPr>
          <w:rFonts w:hint="eastAsia" w:hAnsi="宋体"/>
          <w:highlight w:val="none"/>
        </w:rPr>
        <w:br w:type="page"/>
      </w:r>
      <w:r>
        <w:rPr>
          <w:rFonts w:hint="eastAsia" w:ascii="宋体" w:hAnsi="宋体" w:cs="宋体"/>
          <w:snapToGrid w:val="0"/>
          <w:highlight w:val="none"/>
        </w:rPr>
        <w:t>具有良好的商业信誉和健全的财务会计制度的证明材料或信用承诺函</w:t>
      </w:r>
    </w:p>
    <w:p w14:paraId="69449932">
      <w:pPr>
        <w:spacing w:line="360" w:lineRule="auto"/>
        <w:jc w:val="center"/>
        <w:rPr>
          <w:rFonts w:hint="eastAsia" w:ascii="宋体" w:hAnsi="宋体" w:cs="宋体"/>
          <w:b/>
          <w:spacing w:val="6"/>
          <w:sz w:val="30"/>
          <w:szCs w:val="30"/>
          <w:highlight w:val="none"/>
        </w:rPr>
      </w:pPr>
      <w:r>
        <w:rPr>
          <w:rFonts w:hint="eastAsia" w:ascii="宋体" w:hAnsi="宋体" w:cs="宋体"/>
          <w:b/>
          <w:spacing w:val="6"/>
          <w:sz w:val="30"/>
          <w:szCs w:val="30"/>
          <w:highlight w:val="none"/>
        </w:rPr>
        <w:t>供应商信用承诺函</w:t>
      </w:r>
    </w:p>
    <w:p w14:paraId="41BCB7F9">
      <w:pPr>
        <w:spacing w:line="360" w:lineRule="auto"/>
        <w:rPr>
          <w:rFonts w:ascii="宋体" w:hAnsi="宋体"/>
          <w:b/>
          <w:spacing w:val="6"/>
          <w:sz w:val="30"/>
          <w:szCs w:val="30"/>
          <w:highlight w:val="none"/>
        </w:rPr>
      </w:pPr>
    </w:p>
    <w:p w14:paraId="4DE024BE">
      <w:pPr>
        <w:spacing w:line="360" w:lineRule="exact"/>
        <w:jc w:val="left"/>
        <w:rPr>
          <w:rFonts w:ascii="宋体" w:hAnsi="宋体"/>
          <w:snapToGrid w:val="0"/>
          <w:kern w:val="0"/>
          <w:sz w:val="24"/>
          <w:highlight w:val="none"/>
        </w:rPr>
      </w:pPr>
      <w:r>
        <w:rPr>
          <w:rFonts w:hint="eastAsia" w:ascii="宋体" w:hAnsi="宋体"/>
          <w:snapToGrid w:val="0"/>
          <w:kern w:val="0"/>
          <w:sz w:val="24"/>
          <w:highlight w:val="none"/>
        </w:rPr>
        <w:t>（采购人名称或采购代理机构名称）：</w:t>
      </w:r>
    </w:p>
    <w:p w14:paraId="3C193416">
      <w:pPr>
        <w:spacing w:line="500" w:lineRule="exact"/>
        <w:ind w:firstLine="480" w:firstLineChars="200"/>
        <w:jc w:val="left"/>
        <w:rPr>
          <w:rFonts w:ascii="宋体" w:hAnsi="宋体"/>
          <w:snapToGrid w:val="0"/>
          <w:kern w:val="0"/>
          <w:sz w:val="24"/>
          <w:highlight w:val="none"/>
        </w:rPr>
      </w:pPr>
    </w:p>
    <w:p w14:paraId="7F473BF3">
      <w:pPr>
        <w:spacing w:before="120" w:after="120" w:line="360" w:lineRule="auto"/>
        <w:ind w:firstLine="480" w:firstLineChars="200"/>
        <w:rPr>
          <w:rFonts w:hint="eastAsia" w:ascii="宋体" w:hAnsi="宋体"/>
          <w:bCs/>
          <w:sz w:val="24"/>
          <w:highlight w:val="none"/>
          <w:u w:val="single"/>
        </w:rPr>
      </w:pPr>
      <w:bookmarkStart w:id="147" w:name="_Toc71628706"/>
      <w:bookmarkStart w:id="148" w:name="_Toc22053"/>
      <w:bookmarkStart w:id="149" w:name="_Toc13293"/>
      <w:bookmarkStart w:id="150" w:name="_Toc20202"/>
      <w:r>
        <w:rPr>
          <w:rFonts w:hint="eastAsia" w:ascii="宋体" w:hAnsi="宋体"/>
          <w:bCs/>
          <w:sz w:val="24"/>
          <w:highlight w:val="none"/>
        </w:rPr>
        <w:t>我单位参与</w:t>
      </w:r>
      <w:r>
        <w:rPr>
          <w:rFonts w:hint="eastAsia" w:ascii="宋体" w:hAnsi="宋体"/>
          <w:bCs/>
          <w:sz w:val="24"/>
          <w:highlight w:val="none"/>
          <w:u w:val="single"/>
        </w:rPr>
        <w:t>（项目名称）         （项目编号）</w:t>
      </w:r>
      <w:r>
        <w:rPr>
          <w:rFonts w:hint="eastAsia" w:ascii="宋体" w:hAnsi="宋体"/>
          <w:bCs/>
          <w:sz w:val="24"/>
          <w:highlight w:val="none"/>
        </w:rPr>
        <w:t>的政府采购活动，在此郑重承诺如下：</w:t>
      </w:r>
    </w:p>
    <w:bookmarkEnd w:id="147"/>
    <w:bookmarkEnd w:id="148"/>
    <w:bookmarkEnd w:id="149"/>
    <w:bookmarkEnd w:id="150"/>
    <w:p w14:paraId="370D7852">
      <w:pPr>
        <w:numPr>
          <w:ilvl w:val="0"/>
          <w:numId w:val="14"/>
        </w:numPr>
        <w:spacing w:before="120" w:after="120" w:line="360" w:lineRule="auto"/>
        <w:ind w:firstLine="480" w:firstLineChars="200"/>
        <w:rPr>
          <w:rFonts w:ascii="宋体" w:hAnsi="宋体"/>
          <w:bCs/>
          <w:sz w:val="24"/>
          <w:highlight w:val="none"/>
        </w:rPr>
      </w:pPr>
      <w:r>
        <w:rPr>
          <w:rFonts w:hint="eastAsia" w:ascii="宋体" w:hAnsi="宋体"/>
          <w:bCs/>
          <w:sz w:val="24"/>
          <w:highlight w:val="none"/>
        </w:rPr>
        <w:t>我单位具有良好的商业信誉和健全的财务会计制度；</w:t>
      </w:r>
    </w:p>
    <w:p w14:paraId="6F74E72C">
      <w:pPr>
        <w:numPr>
          <w:ilvl w:val="0"/>
          <w:numId w:val="14"/>
        </w:numPr>
        <w:spacing w:before="120" w:after="120" w:line="360" w:lineRule="auto"/>
        <w:ind w:firstLine="480" w:firstLineChars="200"/>
        <w:rPr>
          <w:rFonts w:ascii="宋体" w:hAnsi="宋体"/>
          <w:bCs/>
          <w:sz w:val="24"/>
          <w:highlight w:val="none"/>
        </w:rPr>
      </w:pPr>
      <w:r>
        <w:rPr>
          <w:rFonts w:hint="eastAsia" w:ascii="宋体" w:hAnsi="宋体"/>
          <w:bCs/>
          <w:sz w:val="24"/>
          <w:highlight w:val="none"/>
        </w:rPr>
        <w:t>我单位具有依法缴纳税收和社会保障资金的良好记录；</w:t>
      </w:r>
    </w:p>
    <w:p w14:paraId="368DFC06">
      <w:pPr>
        <w:spacing w:line="360" w:lineRule="auto"/>
        <w:ind w:firstLine="504" w:firstLineChars="200"/>
        <w:rPr>
          <w:rFonts w:hint="eastAsia" w:ascii="宋体" w:hAnsi="宋体" w:cs="宋体"/>
          <w:spacing w:val="6"/>
          <w:sz w:val="24"/>
          <w:highlight w:val="none"/>
        </w:rPr>
      </w:pPr>
      <w:r>
        <w:rPr>
          <w:rFonts w:hint="eastAsia" w:ascii="宋体" w:hAnsi="宋体" w:cs="宋体"/>
          <w:spacing w:val="6"/>
          <w:sz w:val="24"/>
          <w:highlight w:val="none"/>
        </w:rPr>
        <w:t>3、我单位具有履行本项目合同所必需的设备和专业技术能力；</w:t>
      </w:r>
    </w:p>
    <w:p w14:paraId="3330FA9D">
      <w:pPr>
        <w:spacing w:line="360" w:lineRule="auto"/>
        <w:ind w:firstLine="504" w:firstLineChars="200"/>
        <w:rPr>
          <w:rFonts w:hint="eastAsia" w:ascii="宋体" w:hAnsi="宋体" w:cs="宋体"/>
          <w:spacing w:val="6"/>
          <w:sz w:val="24"/>
          <w:highlight w:val="none"/>
        </w:rPr>
      </w:pPr>
      <w:r>
        <w:rPr>
          <w:rFonts w:hint="eastAsia" w:ascii="宋体" w:hAnsi="宋体" w:cs="宋体"/>
          <w:spacing w:val="6"/>
          <w:sz w:val="24"/>
          <w:highlight w:val="none"/>
        </w:rPr>
        <w:t>4、自本项目开标之日起向前追溯三年，我单位没有以下重大违法记录：因违法经营受到刑事处罚或者责令停产停业、吊销许可证或者执照、较大数额罚款等行政处罚。</w:t>
      </w:r>
    </w:p>
    <w:p w14:paraId="2DB08ECF">
      <w:pPr>
        <w:spacing w:line="360" w:lineRule="auto"/>
        <w:ind w:firstLine="506" w:firstLineChars="200"/>
        <w:rPr>
          <w:rFonts w:ascii="宋体" w:hAnsi="宋体" w:cs="宋体"/>
          <w:b/>
          <w:bCs/>
          <w:spacing w:val="6"/>
          <w:sz w:val="24"/>
          <w:highlight w:val="none"/>
        </w:rPr>
      </w:pPr>
      <w:r>
        <w:rPr>
          <w:rFonts w:hint="eastAsia" w:ascii="宋体" w:hAnsi="宋体" w:cs="宋体"/>
          <w:b/>
          <w:bCs/>
          <w:spacing w:val="6"/>
          <w:sz w:val="24"/>
          <w:highlight w:val="none"/>
        </w:rPr>
        <w:t>我单位对上述承诺的真实性负责。如有虚假，将依法承担相应法律责任。</w:t>
      </w:r>
    </w:p>
    <w:p w14:paraId="35761802">
      <w:pPr>
        <w:pStyle w:val="30"/>
        <w:spacing w:line="360" w:lineRule="auto"/>
        <w:rPr>
          <w:rFonts w:ascii="宋体" w:hAnsi="宋体"/>
          <w:highlight w:val="none"/>
        </w:rPr>
      </w:pPr>
    </w:p>
    <w:p w14:paraId="39F0E6F3">
      <w:pPr>
        <w:spacing w:line="360" w:lineRule="auto"/>
        <w:jc w:val="left"/>
        <w:rPr>
          <w:rFonts w:ascii="宋体" w:hAnsi="宋体"/>
          <w:sz w:val="24"/>
          <w:highlight w:val="none"/>
        </w:rPr>
      </w:pPr>
      <w:r>
        <w:rPr>
          <w:rFonts w:hint="eastAsia" w:ascii="宋体" w:hAnsi="宋体"/>
          <w:sz w:val="24"/>
          <w:highlight w:val="none"/>
        </w:rPr>
        <w:t>供应商名称（盖章）：</w:t>
      </w:r>
    </w:p>
    <w:p w14:paraId="7F515E6C">
      <w:pPr>
        <w:tabs>
          <w:tab w:val="left" w:pos="1490"/>
          <w:tab w:val="right" w:pos="9191"/>
        </w:tabs>
        <w:spacing w:line="360" w:lineRule="auto"/>
        <w:jc w:val="left"/>
        <w:rPr>
          <w:rFonts w:ascii="宋体" w:hAnsi="宋体"/>
          <w:sz w:val="24"/>
          <w:highlight w:val="none"/>
        </w:rPr>
      </w:pPr>
      <w:r>
        <w:rPr>
          <w:rFonts w:hint="eastAsia" w:ascii="宋体" w:hAnsi="宋体"/>
          <w:sz w:val="24"/>
          <w:highlight w:val="none"/>
        </w:rPr>
        <w:t>法定代表人或授权代理人签字或盖章：</w:t>
      </w:r>
      <w:r>
        <w:rPr>
          <w:rFonts w:hint="eastAsia" w:ascii="宋体" w:hAnsi="宋体"/>
          <w:sz w:val="24"/>
          <w:highlight w:val="none"/>
        </w:rPr>
        <w:tab/>
      </w:r>
    </w:p>
    <w:p w14:paraId="46F87720">
      <w:pPr>
        <w:pStyle w:val="30"/>
        <w:jc w:val="right"/>
        <w:rPr>
          <w:rFonts w:hint="eastAsia" w:ascii="宋体" w:hAnsi="宋体"/>
          <w:highlight w:val="none"/>
        </w:rPr>
      </w:pPr>
      <w:r>
        <w:rPr>
          <w:rFonts w:hint="eastAsia" w:ascii="宋体" w:hAnsi="宋体"/>
          <w:highlight w:val="none"/>
        </w:rPr>
        <w:t>年  月  日</w:t>
      </w:r>
    </w:p>
    <w:p w14:paraId="7E251E8F">
      <w:pPr>
        <w:spacing w:line="360" w:lineRule="auto"/>
        <w:ind w:right="187"/>
        <w:jc w:val="left"/>
        <w:rPr>
          <w:rFonts w:hint="eastAsia" w:ascii="宋体" w:hAnsi="宋体"/>
          <w:bCs/>
          <w:sz w:val="24"/>
          <w:highlight w:val="none"/>
        </w:rPr>
      </w:pPr>
      <w:r>
        <w:rPr>
          <w:rFonts w:hint="eastAsia" w:ascii="宋体" w:hAnsi="宋体"/>
          <w:bCs/>
          <w:sz w:val="24"/>
          <w:highlight w:val="none"/>
        </w:rPr>
        <w:t>注：</w:t>
      </w:r>
    </w:p>
    <w:p w14:paraId="28619131">
      <w:pPr>
        <w:pStyle w:val="30"/>
        <w:numPr>
          <w:ilvl w:val="0"/>
          <w:numId w:val="15"/>
        </w:numPr>
        <w:spacing w:line="360" w:lineRule="auto"/>
        <w:jc w:val="left"/>
        <w:rPr>
          <w:rFonts w:hint="eastAsia" w:hAnsi="宋体"/>
          <w:b/>
          <w:highlight w:val="none"/>
        </w:rPr>
      </w:pPr>
      <w:r>
        <w:rPr>
          <w:rFonts w:hint="eastAsia" w:hAnsi="宋体"/>
          <w:bCs/>
          <w:highlight w:val="none"/>
        </w:rPr>
        <w:t>供应商可自行选择是否提供承诺函。若不提供承诺函的，应按采购文件要求提供相应的证明材料。</w:t>
      </w:r>
      <w:r>
        <w:rPr>
          <w:rFonts w:hint="eastAsia" w:hAnsi="宋体"/>
          <w:b/>
          <w:highlight w:val="none"/>
        </w:rPr>
        <w:t>未按上述规定内容提供承诺函，也未提供相应证明材料的，将作无效投标处理。</w:t>
      </w:r>
    </w:p>
    <w:p w14:paraId="204AE9EE">
      <w:pPr>
        <w:pStyle w:val="30"/>
        <w:rPr>
          <w:rFonts w:hint="eastAsia" w:ascii="宋体" w:hAnsi="宋体" w:cs="宋体"/>
          <w:snapToGrid w:val="0"/>
          <w:highlight w:val="none"/>
        </w:rPr>
      </w:pPr>
      <w:r>
        <w:rPr>
          <w:rFonts w:hint="eastAsia" w:hAnsi="宋体"/>
          <w:bCs/>
          <w:highlight w:val="none"/>
        </w:rPr>
        <w:t>2、如果是联合体投标，联合体各方均需提供承诺函。</w:t>
      </w:r>
    </w:p>
    <w:p w14:paraId="0374CE8C">
      <w:pPr>
        <w:pStyle w:val="30"/>
        <w:numPr>
          <w:ilvl w:val="0"/>
          <w:numId w:val="13"/>
        </w:numPr>
        <w:rPr>
          <w:rFonts w:ascii="宋体" w:hAnsi="宋体" w:cs="宋体"/>
          <w:snapToGrid w:val="0"/>
          <w:highlight w:val="none"/>
        </w:rPr>
      </w:pPr>
      <w:r>
        <w:rPr>
          <w:rFonts w:hint="eastAsia" w:ascii="宋体" w:hAnsi="宋体" w:cs="宋体"/>
          <w:snapToGrid w:val="0"/>
          <w:highlight w:val="none"/>
        </w:rPr>
        <w:br w:type="page"/>
      </w:r>
      <w:r>
        <w:rPr>
          <w:rFonts w:hint="eastAsia" w:ascii="宋体" w:hAnsi="宋体" w:cs="宋体"/>
          <w:snapToGrid w:val="0"/>
          <w:highlight w:val="none"/>
        </w:rPr>
        <w:t>具有履行合同所必需的设备和专业技术能力的证明材料或信用承诺函</w:t>
      </w:r>
    </w:p>
    <w:p w14:paraId="0C444D80">
      <w:pPr>
        <w:pStyle w:val="30"/>
        <w:numPr>
          <w:ilvl w:val="0"/>
          <w:numId w:val="13"/>
        </w:numPr>
        <w:rPr>
          <w:rFonts w:ascii="宋体" w:hAnsi="宋体" w:cs="宋体"/>
          <w:snapToGrid w:val="0"/>
          <w:highlight w:val="none"/>
        </w:rPr>
      </w:pPr>
      <w:r>
        <w:rPr>
          <w:rFonts w:hint="eastAsia" w:ascii="宋体" w:hAnsi="宋体" w:cs="宋体"/>
          <w:snapToGrid w:val="0"/>
          <w:highlight w:val="none"/>
        </w:rPr>
        <w:br w:type="page"/>
      </w:r>
      <w:r>
        <w:rPr>
          <w:rFonts w:hint="eastAsia" w:ascii="宋体" w:hAnsi="宋体" w:cs="宋体"/>
          <w:snapToGrid w:val="0"/>
          <w:highlight w:val="none"/>
        </w:rPr>
        <w:t>具有依法缴纳税收和社会保障资金的良好记录的证明材料或信用承诺函</w:t>
      </w:r>
    </w:p>
    <w:p w14:paraId="1450064A">
      <w:pPr>
        <w:pStyle w:val="30"/>
        <w:numPr>
          <w:ilvl w:val="0"/>
          <w:numId w:val="13"/>
        </w:numPr>
        <w:rPr>
          <w:rFonts w:ascii="宋体" w:hAnsi="宋体" w:cs="宋体"/>
          <w:snapToGrid w:val="0"/>
          <w:highlight w:val="none"/>
        </w:rPr>
      </w:pPr>
      <w:r>
        <w:rPr>
          <w:rFonts w:hint="eastAsia" w:ascii="宋体" w:hAnsi="宋体" w:cs="宋体"/>
          <w:snapToGrid w:val="0"/>
          <w:highlight w:val="none"/>
        </w:rPr>
        <w:br w:type="page"/>
      </w:r>
      <w:r>
        <w:rPr>
          <w:rFonts w:hint="eastAsia" w:hAnsi="宋体"/>
          <w:spacing w:val="-11"/>
          <w:highlight w:val="none"/>
        </w:rPr>
        <w:t>参加政府采购活动前3年内</w:t>
      </w:r>
      <w:bookmarkStart w:id="151" w:name="_Toc518923113"/>
      <w:r>
        <w:rPr>
          <w:rFonts w:hint="eastAsia" w:hAnsi="宋体"/>
          <w:spacing w:val="-11"/>
          <w:highlight w:val="none"/>
        </w:rPr>
        <w:t>在经营活动中没有重大违法记录的</w:t>
      </w:r>
      <w:bookmarkEnd w:id="151"/>
      <w:r>
        <w:rPr>
          <w:rFonts w:hint="eastAsia" w:hAnsi="宋体"/>
          <w:spacing w:val="-11"/>
          <w:highlight w:val="none"/>
        </w:rPr>
        <w:t>书面声明或</w:t>
      </w:r>
      <w:r>
        <w:rPr>
          <w:rFonts w:hint="eastAsia" w:ascii="宋体" w:hAnsi="宋体" w:cs="宋体"/>
          <w:snapToGrid w:val="0"/>
          <w:spacing w:val="-11"/>
          <w:highlight w:val="none"/>
        </w:rPr>
        <w:t>信用承诺函</w:t>
      </w:r>
    </w:p>
    <w:p w14:paraId="65FDA479">
      <w:pPr>
        <w:spacing w:line="360" w:lineRule="exact"/>
        <w:ind w:right="187"/>
        <w:rPr>
          <w:rFonts w:ascii="宋体" w:hAnsi="宋体"/>
          <w:bCs/>
          <w:snapToGrid w:val="0"/>
          <w:kern w:val="0"/>
          <w:sz w:val="24"/>
          <w:highlight w:val="none"/>
        </w:rPr>
      </w:pPr>
    </w:p>
    <w:p w14:paraId="4F976AF6">
      <w:pPr>
        <w:pStyle w:val="30"/>
        <w:spacing w:after="0" w:line="460" w:lineRule="exact"/>
        <w:jc w:val="center"/>
        <w:rPr>
          <w:rFonts w:ascii="宋体" w:hAnsi="宋体"/>
          <w:b/>
          <w:snapToGrid w:val="0"/>
          <w:sz w:val="32"/>
          <w:highlight w:val="none"/>
        </w:rPr>
      </w:pPr>
      <w:r>
        <w:rPr>
          <w:rFonts w:hint="eastAsia" w:ascii="宋体" w:hAnsi="宋体"/>
          <w:b/>
          <w:snapToGrid w:val="0"/>
          <w:sz w:val="32"/>
          <w:highlight w:val="none"/>
        </w:rPr>
        <w:t>参加政府采购活动前三年内，在经营活动中没有</w:t>
      </w:r>
    </w:p>
    <w:p w14:paraId="63B56DAD">
      <w:pPr>
        <w:pStyle w:val="30"/>
        <w:spacing w:after="0" w:line="460" w:lineRule="exact"/>
        <w:jc w:val="center"/>
        <w:rPr>
          <w:rFonts w:ascii="宋体" w:hAnsi="宋体"/>
          <w:b/>
          <w:snapToGrid w:val="0"/>
          <w:sz w:val="32"/>
          <w:highlight w:val="none"/>
        </w:rPr>
      </w:pPr>
      <w:r>
        <w:rPr>
          <w:rFonts w:hint="eastAsia" w:ascii="宋体" w:hAnsi="宋体"/>
          <w:b/>
          <w:snapToGrid w:val="0"/>
          <w:sz w:val="32"/>
          <w:highlight w:val="none"/>
        </w:rPr>
        <w:t>重大违法记录的书面声明</w:t>
      </w:r>
    </w:p>
    <w:p w14:paraId="3AF6B399">
      <w:pPr>
        <w:spacing w:line="360" w:lineRule="exact"/>
        <w:jc w:val="left"/>
        <w:rPr>
          <w:rFonts w:ascii="宋体" w:hAnsi="宋体"/>
          <w:snapToGrid w:val="0"/>
          <w:kern w:val="0"/>
          <w:sz w:val="24"/>
          <w:highlight w:val="none"/>
          <w:u w:val="single"/>
        </w:rPr>
      </w:pPr>
    </w:p>
    <w:p w14:paraId="61B2C136">
      <w:pPr>
        <w:spacing w:line="360" w:lineRule="exact"/>
        <w:jc w:val="left"/>
        <w:rPr>
          <w:rFonts w:ascii="宋体" w:hAnsi="宋体"/>
          <w:snapToGrid w:val="0"/>
          <w:kern w:val="0"/>
          <w:sz w:val="24"/>
          <w:highlight w:val="none"/>
        </w:rPr>
      </w:pPr>
      <w:r>
        <w:rPr>
          <w:rFonts w:hint="eastAsia" w:ascii="宋体" w:hAnsi="宋体"/>
          <w:snapToGrid w:val="0"/>
          <w:kern w:val="0"/>
          <w:sz w:val="24"/>
          <w:highlight w:val="none"/>
        </w:rPr>
        <w:t>（采购人名称）：</w:t>
      </w:r>
    </w:p>
    <w:p w14:paraId="2ABC35B8">
      <w:pPr>
        <w:spacing w:line="500" w:lineRule="exact"/>
        <w:ind w:firstLine="480" w:firstLineChars="200"/>
        <w:jc w:val="left"/>
        <w:rPr>
          <w:rFonts w:ascii="宋体" w:hAnsi="宋体"/>
          <w:snapToGrid w:val="0"/>
          <w:kern w:val="0"/>
          <w:sz w:val="24"/>
          <w:highlight w:val="none"/>
        </w:rPr>
      </w:pPr>
    </w:p>
    <w:p w14:paraId="6CC6A0C7">
      <w:pPr>
        <w:spacing w:line="500" w:lineRule="exact"/>
        <w:ind w:firstLine="480" w:firstLineChars="200"/>
        <w:jc w:val="left"/>
        <w:rPr>
          <w:rFonts w:ascii="宋体" w:hAnsi="宋体"/>
          <w:snapToGrid w:val="0"/>
          <w:kern w:val="0"/>
          <w:sz w:val="24"/>
          <w:highlight w:val="none"/>
        </w:rPr>
      </w:pPr>
      <w:r>
        <w:rPr>
          <w:rFonts w:hint="eastAsia" w:ascii="宋体" w:hAnsi="宋体"/>
          <w:snapToGrid w:val="0"/>
          <w:kern w:val="0"/>
          <w:sz w:val="24"/>
          <w:highlight w:val="none"/>
        </w:rPr>
        <w:t>我单位郑重声明：自本项目开标之日起向前追溯三年，我单位没有以下重大违法记录：因违法经营受到刑事处罚或者责令停产停业、吊销许可证或者执照、较大数额罚款等行政处罚。</w:t>
      </w:r>
    </w:p>
    <w:p w14:paraId="71327B56">
      <w:pPr>
        <w:spacing w:line="500" w:lineRule="exact"/>
        <w:ind w:firstLine="480" w:firstLineChars="200"/>
        <w:jc w:val="left"/>
        <w:rPr>
          <w:rFonts w:ascii="宋体" w:hAnsi="宋体"/>
          <w:snapToGrid w:val="0"/>
          <w:kern w:val="0"/>
          <w:sz w:val="24"/>
          <w:highlight w:val="none"/>
        </w:rPr>
      </w:pPr>
    </w:p>
    <w:p w14:paraId="76C64628">
      <w:pPr>
        <w:spacing w:line="500" w:lineRule="exact"/>
        <w:ind w:firstLine="480" w:firstLineChars="200"/>
        <w:jc w:val="left"/>
        <w:rPr>
          <w:rFonts w:ascii="宋体" w:hAnsi="宋体"/>
          <w:snapToGrid w:val="0"/>
          <w:kern w:val="0"/>
          <w:sz w:val="24"/>
          <w:highlight w:val="none"/>
        </w:rPr>
      </w:pPr>
      <w:r>
        <w:rPr>
          <w:rFonts w:hint="eastAsia" w:ascii="宋体" w:hAnsi="宋体"/>
          <w:snapToGrid w:val="0"/>
          <w:kern w:val="0"/>
          <w:sz w:val="24"/>
          <w:highlight w:val="none"/>
        </w:rPr>
        <w:t>注：</w:t>
      </w:r>
    </w:p>
    <w:p w14:paraId="068FAA2A">
      <w:pPr>
        <w:spacing w:line="500" w:lineRule="exact"/>
        <w:ind w:firstLine="480" w:firstLineChars="200"/>
        <w:jc w:val="left"/>
        <w:rPr>
          <w:rFonts w:ascii="宋体" w:hAnsi="宋体"/>
          <w:snapToGrid w:val="0"/>
          <w:kern w:val="0"/>
          <w:sz w:val="24"/>
          <w:highlight w:val="none"/>
        </w:rPr>
      </w:pPr>
      <w:r>
        <w:rPr>
          <w:rFonts w:hint="eastAsia" w:ascii="宋体" w:hAnsi="宋体"/>
          <w:snapToGrid w:val="0"/>
          <w:kern w:val="0"/>
          <w:sz w:val="24"/>
          <w:highlight w:val="none"/>
        </w:rPr>
        <w:t>投标供应商对其所声明内容的真实性负责。如投标供应商所声明内容不真实，则应承担相应的法律责任。</w:t>
      </w:r>
    </w:p>
    <w:p w14:paraId="2CDC57E4">
      <w:pPr>
        <w:rPr>
          <w:rFonts w:ascii="宋体" w:hAnsi="宋体"/>
          <w:snapToGrid w:val="0"/>
          <w:kern w:val="0"/>
          <w:sz w:val="24"/>
          <w:highlight w:val="none"/>
        </w:rPr>
      </w:pPr>
    </w:p>
    <w:p w14:paraId="7035B0C1">
      <w:pPr>
        <w:rPr>
          <w:rFonts w:ascii="宋体" w:hAnsi="宋体"/>
          <w:snapToGrid w:val="0"/>
          <w:kern w:val="0"/>
          <w:sz w:val="24"/>
          <w:highlight w:val="none"/>
        </w:rPr>
      </w:pPr>
    </w:p>
    <w:p w14:paraId="104E8B68">
      <w:pPr>
        <w:rPr>
          <w:rFonts w:ascii="宋体" w:hAnsi="宋体"/>
          <w:snapToGrid w:val="0"/>
          <w:kern w:val="0"/>
          <w:sz w:val="24"/>
          <w:highlight w:val="none"/>
        </w:rPr>
      </w:pPr>
    </w:p>
    <w:p w14:paraId="57997606">
      <w:pPr>
        <w:tabs>
          <w:tab w:val="left" w:pos="2977"/>
          <w:tab w:val="left" w:pos="3261"/>
        </w:tabs>
        <w:spacing w:line="360" w:lineRule="auto"/>
        <w:jc w:val="left"/>
        <w:rPr>
          <w:rFonts w:ascii="宋体" w:hAnsi="宋体"/>
          <w:snapToGrid w:val="0"/>
          <w:kern w:val="0"/>
          <w:sz w:val="24"/>
          <w:highlight w:val="none"/>
        </w:rPr>
      </w:pPr>
      <w:r>
        <w:rPr>
          <w:rFonts w:hint="eastAsia" w:ascii="宋体" w:hAnsi="宋体"/>
          <w:snapToGrid w:val="0"/>
          <w:kern w:val="0"/>
          <w:sz w:val="24"/>
          <w:highlight w:val="none"/>
        </w:rPr>
        <w:t>供应商名称：（公章）</w:t>
      </w:r>
    </w:p>
    <w:p w14:paraId="4D5BF0A8">
      <w:pPr>
        <w:spacing w:line="360" w:lineRule="auto"/>
        <w:jc w:val="left"/>
        <w:rPr>
          <w:rFonts w:ascii="宋体" w:hAnsi="宋体"/>
          <w:snapToGrid w:val="0"/>
          <w:kern w:val="0"/>
          <w:sz w:val="24"/>
          <w:highlight w:val="none"/>
        </w:rPr>
      </w:pPr>
      <w:r>
        <w:rPr>
          <w:rFonts w:hint="eastAsia" w:ascii="宋体" w:hAnsi="宋体"/>
          <w:snapToGrid w:val="0"/>
          <w:kern w:val="0"/>
          <w:sz w:val="24"/>
          <w:highlight w:val="none"/>
        </w:rPr>
        <w:t>法定代表人或其委托代理人签字或盖章：</w:t>
      </w:r>
    </w:p>
    <w:p w14:paraId="2521493F">
      <w:pPr>
        <w:spacing w:line="360" w:lineRule="exact"/>
        <w:jc w:val="left"/>
        <w:rPr>
          <w:rFonts w:ascii="宋体" w:hAnsi="宋体"/>
          <w:snapToGrid w:val="0"/>
          <w:kern w:val="0"/>
          <w:sz w:val="24"/>
          <w:highlight w:val="none"/>
        </w:rPr>
      </w:pPr>
    </w:p>
    <w:p w14:paraId="4068B7F5">
      <w:pPr>
        <w:pStyle w:val="30"/>
        <w:spacing w:after="0" w:line="360" w:lineRule="auto"/>
        <w:ind w:left="6660" w:firstLine="480"/>
        <w:rPr>
          <w:rFonts w:ascii="宋体" w:hAnsi="宋体"/>
          <w:highlight w:val="none"/>
        </w:rPr>
      </w:pPr>
      <w:r>
        <w:rPr>
          <w:rFonts w:hint="eastAsia" w:ascii="宋体" w:hAnsi="宋体"/>
          <w:highlight w:val="none"/>
        </w:rPr>
        <w:t>年  月  日</w:t>
      </w:r>
    </w:p>
    <w:p w14:paraId="5473AF9A">
      <w:pPr>
        <w:spacing w:line="360" w:lineRule="auto"/>
        <w:jc w:val="right"/>
        <w:rPr>
          <w:rFonts w:ascii="宋体" w:hAnsi="宋体" w:cs="宋体"/>
          <w:snapToGrid w:val="0"/>
          <w:kern w:val="0"/>
          <w:sz w:val="24"/>
          <w:highlight w:val="none"/>
        </w:rPr>
      </w:pPr>
    </w:p>
    <w:p w14:paraId="1CFCDEFB">
      <w:pPr>
        <w:pStyle w:val="30"/>
        <w:numPr>
          <w:ilvl w:val="0"/>
          <w:numId w:val="13"/>
        </w:numPr>
        <w:rPr>
          <w:rFonts w:hint="eastAsia" w:hAnsi="宋体"/>
          <w:highlight w:val="none"/>
        </w:rPr>
      </w:pPr>
      <w:r>
        <w:rPr>
          <w:rFonts w:hint="eastAsia" w:hAnsi="宋体"/>
          <w:highlight w:val="none"/>
        </w:rPr>
        <w:br w:type="page"/>
      </w:r>
      <w:r>
        <w:rPr>
          <w:rFonts w:hint="eastAsia" w:hAnsi="宋体"/>
          <w:highlight w:val="none"/>
        </w:rPr>
        <w:t>供应商不存在关联关系声明</w:t>
      </w:r>
    </w:p>
    <w:p w14:paraId="60C966E8">
      <w:pPr>
        <w:pStyle w:val="30"/>
        <w:spacing w:after="0" w:line="460" w:lineRule="exact"/>
        <w:jc w:val="center"/>
        <w:rPr>
          <w:rFonts w:ascii="宋体" w:hAnsi="宋体"/>
          <w:b/>
          <w:snapToGrid w:val="0"/>
          <w:sz w:val="32"/>
          <w:highlight w:val="none"/>
        </w:rPr>
      </w:pPr>
      <w:r>
        <w:rPr>
          <w:rFonts w:hint="eastAsia" w:ascii="宋体" w:hAnsi="宋体"/>
          <w:b/>
          <w:snapToGrid w:val="0"/>
          <w:sz w:val="32"/>
          <w:highlight w:val="none"/>
        </w:rPr>
        <w:t>单位负责人不为同一人或者不存在直接控股、管理关系的书面声明</w:t>
      </w:r>
    </w:p>
    <w:p w14:paraId="62A9186F">
      <w:pPr>
        <w:spacing w:line="360" w:lineRule="exact"/>
        <w:jc w:val="left"/>
        <w:rPr>
          <w:rFonts w:ascii="宋体" w:hAnsi="宋体"/>
          <w:snapToGrid w:val="0"/>
          <w:kern w:val="0"/>
          <w:sz w:val="24"/>
          <w:highlight w:val="none"/>
          <w:u w:val="single"/>
        </w:rPr>
      </w:pPr>
    </w:p>
    <w:p w14:paraId="64BC4B0D">
      <w:pPr>
        <w:pStyle w:val="299"/>
        <w:autoSpaceDE w:val="0"/>
        <w:autoSpaceDN w:val="0"/>
        <w:adjustRightInd w:val="0"/>
        <w:spacing w:after="200" w:line="320" w:lineRule="exact"/>
        <w:jc w:val="left"/>
        <w:rPr>
          <w:rFonts w:hint="eastAsia" w:ascii="宋体" w:hAnsi="宋体"/>
          <w:snapToGrid w:val="0"/>
          <w:kern w:val="0"/>
          <w:sz w:val="24"/>
          <w:highlight w:val="none"/>
        </w:rPr>
      </w:pPr>
      <w:r>
        <w:rPr>
          <w:rFonts w:hint="eastAsia" w:ascii="宋体" w:hAnsi="宋体"/>
          <w:kern w:val="0"/>
          <w:sz w:val="24"/>
          <w:szCs w:val="20"/>
          <w:highlight w:val="none"/>
        </w:rPr>
        <w:t>供应商</w:t>
      </w:r>
      <w:r>
        <w:rPr>
          <w:rFonts w:ascii="宋体" w:hAnsi="宋体"/>
          <w:kern w:val="0"/>
          <w:sz w:val="24"/>
          <w:szCs w:val="20"/>
          <w:highlight w:val="none"/>
        </w:rPr>
        <w:t>应当如实披露与本单位存在下列关联关系的单位名称</w:t>
      </w:r>
      <w:r>
        <w:rPr>
          <w:rFonts w:hint="eastAsia" w:ascii="宋体" w:hAnsi="宋体"/>
          <w:kern w:val="0"/>
          <w:sz w:val="24"/>
          <w:szCs w:val="20"/>
          <w:highlight w:val="none"/>
        </w:rPr>
        <w:t>，如无，请填写“无”</w:t>
      </w:r>
      <w:r>
        <w:rPr>
          <w:rFonts w:hint="eastAsia" w:ascii="宋体" w:hAnsi="宋体"/>
          <w:snapToGrid w:val="0"/>
          <w:kern w:val="0"/>
          <w:sz w:val="24"/>
          <w:highlight w:val="none"/>
        </w:rPr>
        <w:t>：</w:t>
      </w:r>
    </w:p>
    <w:p w14:paraId="44F79673">
      <w:pPr>
        <w:pStyle w:val="299"/>
        <w:autoSpaceDE w:val="0"/>
        <w:autoSpaceDN w:val="0"/>
        <w:adjustRightInd w:val="0"/>
        <w:spacing w:after="200" w:line="320" w:lineRule="exact"/>
        <w:jc w:val="left"/>
        <w:rPr>
          <w:rFonts w:hint="eastAsia" w:ascii="宋体" w:hAnsi="宋体"/>
          <w:snapToGrid w:val="0"/>
          <w:kern w:val="0"/>
          <w:sz w:val="24"/>
          <w:highlight w:val="none"/>
        </w:rPr>
      </w:pPr>
    </w:p>
    <w:p w14:paraId="6C65329B">
      <w:pPr>
        <w:pStyle w:val="30"/>
        <w:numPr>
          <w:ilvl w:val="0"/>
          <w:numId w:val="16"/>
        </w:numPr>
        <w:rPr>
          <w:rFonts w:ascii="宋体" w:hAnsi="宋体"/>
          <w:highlight w:val="none"/>
        </w:rPr>
      </w:pPr>
      <w:r>
        <w:rPr>
          <w:rFonts w:ascii="宋体" w:hAnsi="宋体"/>
          <w:highlight w:val="none"/>
        </w:rPr>
        <w:t>与</w:t>
      </w:r>
      <w:r>
        <w:rPr>
          <w:rFonts w:hint="eastAsia" w:ascii="宋体" w:hAnsi="宋体"/>
          <w:highlight w:val="none"/>
        </w:rPr>
        <w:t>供应商</w:t>
      </w:r>
      <w:r>
        <w:rPr>
          <w:rFonts w:ascii="宋体" w:hAnsi="宋体"/>
          <w:highlight w:val="none"/>
        </w:rPr>
        <w:t>单位负责人为同一人的其他</w:t>
      </w:r>
      <w:r>
        <w:rPr>
          <w:rFonts w:hint="eastAsia" w:ascii="宋体" w:hAnsi="宋体"/>
          <w:highlight w:val="none"/>
        </w:rPr>
        <w:t>单位</w:t>
      </w:r>
      <w:r>
        <w:rPr>
          <w:rFonts w:ascii="宋体" w:hAnsi="宋体"/>
          <w:highlight w:val="none"/>
        </w:rPr>
        <w:t>；</w:t>
      </w:r>
    </w:p>
    <w:p w14:paraId="3CEACDF0">
      <w:pPr>
        <w:pStyle w:val="30"/>
        <w:rPr>
          <w:rFonts w:ascii="宋体" w:hAnsi="宋体"/>
          <w:highlight w:val="none"/>
        </w:rPr>
      </w:pPr>
    </w:p>
    <w:p w14:paraId="65E1755D">
      <w:pPr>
        <w:pStyle w:val="30"/>
        <w:rPr>
          <w:rFonts w:ascii="宋体" w:hAnsi="宋体"/>
          <w:highlight w:val="none"/>
        </w:rPr>
      </w:pPr>
    </w:p>
    <w:p w14:paraId="0134EF03">
      <w:pPr>
        <w:spacing w:line="360" w:lineRule="exact"/>
        <w:jc w:val="left"/>
        <w:rPr>
          <w:rFonts w:ascii="宋体" w:hAnsi="宋体"/>
          <w:snapToGrid w:val="0"/>
          <w:kern w:val="0"/>
          <w:sz w:val="24"/>
          <w:highlight w:val="none"/>
        </w:rPr>
      </w:pPr>
      <w:r>
        <w:rPr>
          <w:rFonts w:ascii="宋体" w:hAnsi="宋体"/>
          <w:kern w:val="0"/>
          <w:sz w:val="24"/>
          <w:szCs w:val="20"/>
          <w:highlight w:val="none"/>
        </w:rPr>
        <w:br w:type="textWrapping"/>
      </w:r>
      <w:r>
        <w:rPr>
          <w:rFonts w:ascii="宋体" w:hAnsi="宋体"/>
          <w:kern w:val="0"/>
          <w:sz w:val="24"/>
          <w:szCs w:val="20"/>
          <w:highlight w:val="none"/>
        </w:rPr>
        <w:t>（2）与</w:t>
      </w:r>
      <w:r>
        <w:rPr>
          <w:rFonts w:hint="eastAsia" w:ascii="宋体" w:hAnsi="宋体"/>
          <w:kern w:val="0"/>
          <w:sz w:val="24"/>
          <w:szCs w:val="20"/>
          <w:highlight w:val="none"/>
        </w:rPr>
        <w:t>供应商</w:t>
      </w:r>
      <w:r>
        <w:rPr>
          <w:rFonts w:ascii="宋体" w:hAnsi="宋体"/>
          <w:kern w:val="0"/>
          <w:sz w:val="24"/>
          <w:szCs w:val="20"/>
          <w:highlight w:val="none"/>
        </w:rPr>
        <w:t>存在直接控股、管理关系的其他单位</w:t>
      </w:r>
      <w:r>
        <w:rPr>
          <w:rFonts w:hint="eastAsia" w:ascii="宋体" w:hAnsi="宋体"/>
          <w:snapToGrid w:val="0"/>
          <w:kern w:val="0"/>
          <w:sz w:val="24"/>
          <w:highlight w:val="none"/>
        </w:rPr>
        <w:t>：</w:t>
      </w:r>
    </w:p>
    <w:p w14:paraId="4DEC1A57">
      <w:pPr>
        <w:spacing w:line="500" w:lineRule="exact"/>
        <w:ind w:firstLine="480" w:firstLineChars="200"/>
        <w:jc w:val="left"/>
        <w:rPr>
          <w:rFonts w:ascii="宋体" w:hAnsi="宋体"/>
          <w:snapToGrid w:val="0"/>
          <w:kern w:val="0"/>
          <w:sz w:val="24"/>
          <w:highlight w:val="none"/>
        </w:rPr>
      </w:pPr>
    </w:p>
    <w:p w14:paraId="23C7DD56">
      <w:pPr>
        <w:spacing w:line="500" w:lineRule="exact"/>
        <w:ind w:firstLine="480" w:firstLineChars="200"/>
        <w:jc w:val="left"/>
        <w:rPr>
          <w:rFonts w:hint="eastAsia" w:ascii="宋体" w:hAnsi="宋体"/>
          <w:snapToGrid w:val="0"/>
          <w:kern w:val="0"/>
          <w:sz w:val="24"/>
          <w:highlight w:val="none"/>
        </w:rPr>
      </w:pPr>
    </w:p>
    <w:p w14:paraId="73D8E2D9">
      <w:pPr>
        <w:spacing w:line="500" w:lineRule="exact"/>
        <w:ind w:firstLine="480" w:firstLineChars="200"/>
        <w:jc w:val="left"/>
        <w:rPr>
          <w:rFonts w:ascii="宋体" w:hAnsi="宋体"/>
          <w:snapToGrid w:val="0"/>
          <w:kern w:val="0"/>
          <w:sz w:val="24"/>
          <w:highlight w:val="none"/>
        </w:rPr>
      </w:pPr>
      <w:r>
        <w:rPr>
          <w:rFonts w:hint="eastAsia" w:ascii="宋体" w:hAnsi="宋体"/>
          <w:snapToGrid w:val="0"/>
          <w:kern w:val="0"/>
          <w:sz w:val="24"/>
          <w:highlight w:val="none"/>
        </w:rPr>
        <w:t>我单位郑重声明：我单位未与上述存在关联关系的单位同时参加本项目</w:t>
      </w:r>
      <w:r>
        <w:rPr>
          <w:rFonts w:hint="eastAsia" w:ascii="宋体" w:hAnsi="宋体" w:cs="宋体"/>
          <w:sz w:val="24"/>
          <w:highlight w:val="none"/>
        </w:rPr>
        <w:t>同一合同项下（同一包号）</w:t>
      </w:r>
      <w:r>
        <w:rPr>
          <w:rFonts w:hint="eastAsia" w:ascii="宋体" w:hAnsi="宋体"/>
          <w:snapToGrid w:val="0"/>
          <w:kern w:val="0"/>
          <w:sz w:val="24"/>
          <w:highlight w:val="none"/>
        </w:rPr>
        <w:t>的政府采购活动。</w:t>
      </w:r>
    </w:p>
    <w:p w14:paraId="1C07AE3A">
      <w:pPr>
        <w:spacing w:line="500" w:lineRule="exact"/>
        <w:ind w:firstLine="480" w:firstLineChars="200"/>
        <w:jc w:val="left"/>
        <w:rPr>
          <w:rFonts w:ascii="宋体" w:hAnsi="宋体"/>
          <w:snapToGrid w:val="0"/>
          <w:kern w:val="0"/>
          <w:sz w:val="24"/>
          <w:highlight w:val="none"/>
        </w:rPr>
      </w:pPr>
    </w:p>
    <w:p w14:paraId="22D1FCF7">
      <w:pPr>
        <w:spacing w:line="500" w:lineRule="exact"/>
        <w:ind w:firstLine="480" w:firstLineChars="200"/>
        <w:jc w:val="left"/>
        <w:rPr>
          <w:rFonts w:ascii="宋体" w:hAnsi="宋体"/>
          <w:snapToGrid w:val="0"/>
          <w:kern w:val="0"/>
          <w:sz w:val="24"/>
          <w:highlight w:val="none"/>
        </w:rPr>
      </w:pPr>
      <w:r>
        <w:rPr>
          <w:rFonts w:hint="eastAsia" w:ascii="宋体" w:hAnsi="宋体"/>
          <w:snapToGrid w:val="0"/>
          <w:kern w:val="0"/>
          <w:sz w:val="24"/>
          <w:highlight w:val="none"/>
        </w:rPr>
        <w:t>注：</w:t>
      </w:r>
    </w:p>
    <w:p w14:paraId="18F0FD2E">
      <w:pPr>
        <w:spacing w:line="500" w:lineRule="exact"/>
        <w:ind w:firstLine="482" w:firstLineChars="200"/>
        <w:jc w:val="left"/>
        <w:rPr>
          <w:rFonts w:ascii="宋体" w:hAnsi="宋体"/>
          <w:b/>
          <w:snapToGrid w:val="0"/>
          <w:kern w:val="0"/>
          <w:sz w:val="24"/>
          <w:highlight w:val="none"/>
        </w:rPr>
      </w:pPr>
      <w:r>
        <w:rPr>
          <w:rFonts w:ascii="宋体" w:hAnsi="宋体"/>
          <w:b/>
          <w:snapToGrid w:val="0"/>
          <w:kern w:val="0"/>
          <w:sz w:val="24"/>
          <w:highlight w:val="none"/>
        </w:rPr>
        <w:t>1.</w:t>
      </w:r>
      <w:r>
        <w:rPr>
          <w:rFonts w:hint="eastAsia" w:ascii="宋体" w:hAnsi="宋体"/>
          <w:b/>
          <w:snapToGrid w:val="0"/>
          <w:kern w:val="0"/>
          <w:sz w:val="24"/>
          <w:highlight w:val="none"/>
        </w:rPr>
        <w:t>如不提供本声明函，将作无效投标处理。</w:t>
      </w:r>
    </w:p>
    <w:p w14:paraId="244F7612">
      <w:pPr>
        <w:spacing w:line="500" w:lineRule="exact"/>
        <w:ind w:firstLine="482" w:firstLineChars="200"/>
        <w:jc w:val="left"/>
        <w:rPr>
          <w:rFonts w:ascii="宋体" w:hAnsi="宋体"/>
          <w:b/>
          <w:bCs/>
          <w:snapToGrid w:val="0"/>
          <w:kern w:val="0"/>
          <w:sz w:val="24"/>
          <w:highlight w:val="none"/>
        </w:rPr>
      </w:pPr>
      <w:r>
        <w:rPr>
          <w:rFonts w:ascii="宋体" w:hAnsi="宋体"/>
          <w:b/>
          <w:bCs/>
          <w:snapToGrid w:val="0"/>
          <w:kern w:val="0"/>
          <w:sz w:val="24"/>
          <w:highlight w:val="none"/>
        </w:rPr>
        <w:t>2.</w:t>
      </w:r>
      <w:r>
        <w:rPr>
          <w:rFonts w:hint="eastAsia" w:ascii="宋体" w:hAnsi="宋体"/>
          <w:b/>
          <w:bCs/>
          <w:snapToGrid w:val="0"/>
          <w:kern w:val="0"/>
          <w:sz w:val="24"/>
          <w:highlight w:val="none"/>
        </w:rPr>
        <w:t>供应商应对其所声明内容的真实性负责。如供应商所声明内容不真实，则应承担相应的法律责任。</w:t>
      </w:r>
    </w:p>
    <w:p w14:paraId="3C7A3653">
      <w:pPr>
        <w:rPr>
          <w:rFonts w:ascii="宋体" w:hAnsi="宋体"/>
          <w:snapToGrid w:val="0"/>
          <w:kern w:val="0"/>
          <w:sz w:val="24"/>
          <w:highlight w:val="none"/>
        </w:rPr>
      </w:pPr>
    </w:p>
    <w:p w14:paraId="0776A49C">
      <w:pPr>
        <w:rPr>
          <w:rFonts w:ascii="宋体" w:hAnsi="宋体"/>
          <w:snapToGrid w:val="0"/>
          <w:kern w:val="0"/>
          <w:sz w:val="24"/>
          <w:highlight w:val="none"/>
        </w:rPr>
      </w:pPr>
    </w:p>
    <w:p w14:paraId="5173FD96">
      <w:pPr>
        <w:rPr>
          <w:rFonts w:ascii="宋体" w:hAnsi="宋体"/>
          <w:snapToGrid w:val="0"/>
          <w:kern w:val="0"/>
          <w:sz w:val="24"/>
          <w:highlight w:val="none"/>
        </w:rPr>
      </w:pPr>
    </w:p>
    <w:p w14:paraId="29462505">
      <w:pPr>
        <w:tabs>
          <w:tab w:val="left" w:pos="2977"/>
          <w:tab w:val="left" w:pos="3261"/>
        </w:tabs>
        <w:spacing w:line="360" w:lineRule="auto"/>
        <w:jc w:val="left"/>
        <w:rPr>
          <w:rFonts w:ascii="宋体" w:hAnsi="宋体"/>
          <w:snapToGrid w:val="0"/>
          <w:kern w:val="0"/>
          <w:sz w:val="24"/>
          <w:highlight w:val="none"/>
        </w:rPr>
      </w:pPr>
      <w:r>
        <w:rPr>
          <w:rFonts w:hint="eastAsia" w:ascii="宋体" w:hAnsi="宋体"/>
          <w:snapToGrid w:val="0"/>
          <w:kern w:val="0"/>
          <w:sz w:val="24"/>
          <w:highlight w:val="none"/>
        </w:rPr>
        <w:t>供应商名称：（公章）</w:t>
      </w:r>
    </w:p>
    <w:p w14:paraId="726F5DAD">
      <w:pPr>
        <w:pStyle w:val="30"/>
        <w:rPr>
          <w:rFonts w:hint="eastAsia" w:ascii="宋体" w:hAnsi="宋体"/>
          <w:snapToGrid w:val="0"/>
          <w:highlight w:val="none"/>
        </w:rPr>
      </w:pPr>
      <w:r>
        <w:rPr>
          <w:rFonts w:hint="eastAsia" w:ascii="宋体" w:hAnsi="宋体"/>
          <w:snapToGrid w:val="0"/>
          <w:highlight w:val="none"/>
        </w:rPr>
        <w:t>法定代表人或其委托代理人签字或盖章：</w:t>
      </w:r>
    </w:p>
    <w:p w14:paraId="577BF53A">
      <w:pPr>
        <w:pStyle w:val="30"/>
        <w:jc w:val="right"/>
        <w:rPr>
          <w:rFonts w:hint="eastAsia" w:ascii="宋体" w:hAnsi="宋体" w:cs="宋体"/>
          <w:snapToGrid w:val="0"/>
          <w:highlight w:val="none"/>
        </w:rPr>
      </w:pPr>
      <w:r>
        <w:rPr>
          <w:rFonts w:hint="eastAsia" w:ascii="宋体" w:hAnsi="宋体"/>
          <w:snapToGrid w:val="0"/>
          <w:highlight w:val="none"/>
        </w:rPr>
        <w:t>年 月 日</w:t>
      </w:r>
    </w:p>
    <w:p w14:paraId="0915E7F8">
      <w:pPr>
        <w:pStyle w:val="30"/>
        <w:rPr>
          <w:rFonts w:hint="eastAsia" w:hAnsi="宋体"/>
          <w:highlight w:val="none"/>
        </w:rPr>
      </w:pPr>
      <w:r>
        <w:rPr>
          <w:rFonts w:hint="eastAsia" w:hAnsi="宋体"/>
          <w:highlight w:val="none"/>
        </w:rPr>
        <w:t>7、</w:t>
      </w:r>
      <w:r>
        <w:rPr>
          <w:rFonts w:hint="eastAsia" w:ascii="宋体" w:hAnsi="宋体"/>
          <w:snapToGrid w:val="0"/>
          <w:highlight w:val="none"/>
        </w:rPr>
        <w:t>不存在禁止参加政府采购活动情形的书面声明</w:t>
      </w:r>
    </w:p>
    <w:p w14:paraId="497507E2">
      <w:pPr>
        <w:pStyle w:val="30"/>
        <w:jc w:val="center"/>
        <w:rPr>
          <w:rFonts w:hint="eastAsia" w:ascii="宋体" w:hAnsi="宋体"/>
          <w:b/>
          <w:snapToGrid w:val="0"/>
          <w:sz w:val="32"/>
          <w:highlight w:val="none"/>
        </w:rPr>
      </w:pPr>
      <w:r>
        <w:rPr>
          <w:rFonts w:hint="eastAsia" w:ascii="宋体" w:hAnsi="宋体"/>
          <w:b/>
          <w:snapToGrid w:val="0"/>
          <w:sz w:val="32"/>
          <w:highlight w:val="none"/>
        </w:rPr>
        <w:t>不存在禁止参加政府采购活动情形的书面声明</w:t>
      </w:r>
    </w:p>
    <w:p w14:paraId="27871C0A">
      <w:pPr>
        <w:spacing w:line="360" w:lineRule="exact"/>
        <w:jc w:val="left"/>
        <w:rPr>
          <w:rFonts w:hint="eastAsia" w:ascii="宋体" w:hAnsi="宋体"/>
          <w:snapToGrid w:val="0"/>
          <w:kern w:val="0"/>
          <w:sz w:val="24"/>
          <w:highlight w:val="none"/>
        </w:rPr>
      </w:pPr>
    </w:p>
    <w:p w14:paraId="69B3819E">
      <w:pPr>
        <w:spacing w:line="360" w:lineRule="exact"/>
        <w:jc w:val="left"/>
        <w:rPr>
          <w:rFonts w:ascii="宋体" w:hAnsi="宋体"/>
          <w:snapToGrid w:val="0"/>
          <w:kern w:val="0"/>
          <w:sz w:val="24"/>
          <w:highlight w:val="none"/>
        </w:rPr>
      </w:pPr>
      <w:r>
        <w:rPr>
          <w:rFonts w:hint="eastAsia" w:ascii="宋体" w:hAnsi="宋体"/>
          <w:snapToGrid w:val="0"/>
          <w:kern w:val="0"/>
          <w:sz w:val="24"/>
          <w:highlight w:val="none"/>
        </w:rPr>
        <w:t>（采购人名称）：</w:t>
      </w:r>
    </w:p>
    <w:p w14:paraId="7B4320D8">
      <w:pPr>
        <w:spacing w:line="500" w:lineRule="exact"/>
        <w:ind w:firstLine="480" w:firstLineChars="200"/>
        <w:jc w:val="left"/>
        <w:rPr>
          <w:rFonts w:ascii="宋体" w:hAnsi="宋体"/>
          <w:snapToGrid w:val="0"/>
          <w:kern w:val="0"/>
          <w:sz w:val="24"/>
          <w:highlight w:val="none"/>
        </w:rPr>
      </w:pPr>
    </w:p>
    <w:p w14:paraId="38B22D50">
      <w:pPr>
        <w:spacing w:line="500" w:lineRule="exact"/>
        <w:ind w:firstLine="480" w:firstLineChars="200"/>
        <w:jc w:val="left"/>
        <w:rPr>
          <w:rFonts w:hint="eastAsia" w:ascii="宋体" w:hAnsi="宋体"/>
          <w:snapToGrid w:val="0"/>
          <w:kern w:val="0"/>
          <w:sz w:val="24"/>
          <w:highlight w:val="none"/>
        </w:rPr>
      </w:pPr>
      <w:r>
        <w:rPr>
          <w:rFonts w:hint="eastAsia" w:ascii="宋体" w:hAnsi="宋体"/>
          <w:snapToGrid w:val="0"/>
          <w:kern w:val="0"/>
          <w:sz w:val="24"/>
          <w:highlight w:val="none"/>
        </w:rPr>
        <w:t>《中华人民共和国政府采购法实施条例》第十八条第二款“为采购项目提供整体设计、规范编制或者项目管理、监理、检测等服务的供应商，不得再参加该采购项目的其他采购活动。”</w:t>
      </w:r>
    </w:p>
    <w:p w14:paraId="2B133CE5">
      <w:pPr>
        <w:spacing w:line="500" w:lineRule="exact"/>
        <w:ind w:firstLine="480" w:firstLineChars="200"/>
        <w:jc w:val="left"/>
        <w:rPr>
          <w:rFonts w:ascii="宋体" w:hAnsi="宋体"/>
          <w:snapToGrid w:val="0"/>
          <w:kern w:val="0"/>
          <w:sz w:val="24"/>
          <w:highlight w:val="none"/>
        </w:rPr>
      </w:pPr>
      <w:r>
        <w:rPr>
          <w:rFonts w:hint="eastAsia" w:ascii="宋体" w:hAnsi="宋体"/>
          <w:snapToGrid w:val="0"/>
          <w:kern w:val="0"/>
          <w:sz w:val="24"/>
          <w:highlight w:val="none"/>
        </w:rPr>
        <w:t>我单位郑重声明：我单位不存在上述禁止参加政府采购活动的情形。</w:t>
      </w:r>
    </w:p>
    <w:p w14:paraId="6FF0F841">
      <w:pPr>
        <w:spacing w:line="500" w:lineRule="exact"/>
        <w:ind w:firstLine="480" w:firstLineChars="200"/>
        <w:jc w:val="left"/>
        <w:rPr>
          <w:rFonts w:ascii="宋体" w:hAnsi="宋体"/>
          <w:snapToGrid w:val="0"/>
          <w:kern w:val="0"/>
          <w:sz w:val="24"/>
          <w:highlight w:val="none"/>
        </w:rPr>
      </w:pPr>
    </w:p>
    <w:p w14:paraId="343A006F">
      <w:pPr>
        <w:spacing w:line="500" w:lineRule="exact"/>
        <w:ind w:firstLine="480" w:firstLineChars="200"/>
        <w:jc w:val="left"/>
        <w:rPr>
          <w:rFonts w:ascii="宋体" w:hAnsi="宋体"/>
          <w:snapToGrid w:val="0"/>
          <w:kern w:val="0"/>
          <w:sz w:val="24"/>
          <w:highlight w:val="none"/>
        </w:rPr>
      </w:pPr>
      <w:r>
        <w:rPr>
          <w:rFonts w:hint="eastAsia" w:ascii="宋体" w:hAnsi="宋体"/>
          <w:snapToGrid w:val="0"/>
          <w:kern w:val="0"/>
          <w:sz w:val="24"/>
          <w:highlight w:val="none"/>
        </w:rPr>
        <w:t>注：</w:t>
      </w:r>
    </w:p>
    <w:p w14:paraId="52E6B329">
      <w:pPr>
        <w:spacing w:line="500" w:lineRule="exact"/>
        <w:ind w:firstLine="482" w:firstLineChars="200"/>
        <w:jc w:val="left"/>
        <w:rPr>
          <w:rFonts w:ascii="宋体" w:hAnsi="宋体"/>
          <w:b/>
          <w:snapToGrid w:val="0"/>
          <w:kern w:val="0"/>
          <w:sz w:val="24"/>
          <w:highlight w:val="none"/>
        </w:rPr>
      </w:pPr>
      <w:r>
        <w:rPr>
          <w:rFonts w:ascii="宋体" w:hAnsi="宋体"/>
          <w:b/>
          <w:snapToGrid w:val="0"/>
          <w:kern w:val="0"/>
          <w:sz w:val="24"/>
          <w:highlight w:val="none"/>
        </w:rPr>
        <w:t>1.</w:t>
      </w:r>
      <w:r>
        <w:rPr>
          <w:rFonts w:hint="eastAsia" w:ascii="宋体" w:hAnsi="宋体"/>
          <w:b/>
          <w:snapToGrid w:val="0"/>
          <w:kern w:val="0"/>
          <w:sz w:val="24"/>
          <w:highlight w:val="none"/>
        </w:rPr>
        <w:t>如不提供本声明函，将作无效投标处理。</w:t>
      </w:r>
    </w:p>
    <w:p w14:paraId="4B600619">
      <w:pPr>
        <w:spacing w:line="500" w:lineRule="exact"/>
        <w:ind w:firstLine="480" w:firstLineChars="200"/>
        <w:jc w:val="left"/>
        <w:rPr>
          <w:rFonts w:ascii="宋体" w:hAnsi="宋体"/>
          <w:snapToGrid w:val="0"/>
          <w:kern w:val="0"/>
          <w:sz w:val="24"/>
          <w:highlight w:val="none"/>
        </w:rPr>
      </w:pPr>
      <w:r>
        <w:rPr>
          <w:rFonts w:ascii="宋体" w:hAnsi="宋体"/>
          <w:snapToGrid w:val="0"/>
          <w:kern w:val="0"/>
          <w:sz w:val="24"/>
          <w:highlight w:val="none"/>
        </w:rPr>
        <w:t>2.</w:t>
      </w:r>
      <w:r>
        <w:rPr>
          <w:rFonts w:hint="eastAsia" w:ascii="宋体" w:hAnsi="宋体"/>
          <w:snapToGrid w:val="0"/>
          <w:kern w:val="0"/>
          <w:sz w:val="24"/>
          <w:highlight w:val="none"/>
        </w:rPr>
        <w:t>供应商对其所声明内容的真实性负责。如供应商所声明内容不真实，则应承担相应的法律责任。</w:t>
      </w:r>
    </w:p>
    <w:p w14:paraId="6E8D366B">
      <w:pPr>
        <w:rPr>
          <w:rFonts w:ascii="宋体" w:hAnsi="宋体"/>
          <w:snapToGrid w:val="0"/>
          <w:kern w:val="0"/>
          <w:sz w:val="24"/>
          <w:highlight w:val="none"/>
        </w:rPr>
      </w:pPr>
    </w:p>
    <w:p w14:paraId="0F808753">
      <w:pPr>
        <w:rPr>
          <w:rFonts w:ascii="宋体" w:hAnsi="宋体"/>
          <w:snapToGrid w:val="0"/>
          <w:kern w:val="0"/>
          <w:sz w:val="24"/>
          <w:highlight w:val="none"/>
        </w:rPr>
      </w:pPr>
    </w:p>
    <w:p w14:paraId="1C723054">
      <w:pPr>
        <w:rPr>
          <w:rFonts w:ascii="宋体" w:hAnsi="宋体"/>
          <w:snapToGrid w:val="0"/>
          <w:kern w:val="0"/>
          <w:sz w:val="24"/>
          <w:highlight w:val="none"/>
        </w:rPr>
      </w:pPr>
    </w:p>
    <w:p w14:paraId="6E7589AC">
      <w:pPr>
        <w:tabs>
          <w:tab w:val="left" w:pos="2977"/>
          <w:tab w:val="left" w:pos="3261"/>
        </w:tabs>
        <w:spacing w:line="360" w:lineRule="auto"/>
        <w:jc w:val="left"/>
        <w:rPr>
          <w:rFonts w:ascii="宋体" w:hAnsi="宋体"/>
          <w:snapToGrid w:val="0"/>
          <w:kern w:val="0"/>
          <w:sz w:val="24"/>
          <w:highlight w:val="none"/>
        </w:rPr>
      </w:pPr>
      <w:r>
        <w:rPr>
          <w:rFonts w:hint="eastAsia" w:ascii="宋体" w:hAnsi="宋体"/>
          <w:snapToGrid w:val="0"/>
          <w:kern w:val="0"/>
          <w:sz w:val="24"/>
          <w:highlight w:val="none"/>
        </w:rPr>
        <w:t>供应商名称：（公章）</w:t>
      </w:r>
    </w:p>
    <w:p w14:paraId="3618D27D">
      <w:pPr>
        <w:spacing w:line="360" w:lineRule="auto"/>
        <w:jc w:val="left"/>
        <w:rPr>
          <w:rFonts w:ascii="宋体" w:hAnsi="宋体"/>
          <w:snapToGrid w:val="0"/>
          <w:kern w:val="0"/>
          <w:sz w:val="24"/>
          <w:highlight w:val="none"/>
        </w:rPr>
      </w:pPr>
      <w:r>
        <w:rPr>
          <w:rFonts w:hint="eastAsia" w:ascii="宋体" w:hAnsi="宋体"/>
          <w:snapToGrid w:val="0"/>
          <w:kern w:val="0"/>
          <w:sz w:val="24"/>
          <w:highlight w:val="none"/>
        </w:rPr>
        <w:t>法定代表人或其委托代理人签字或盖章：</w:t>
      </w:r>
    </w:p>
    <w:p w14:paraId="43AFF395">
      <w:pPr>
        <w:spacing w:line="360" w:lineRule="exact"/>
        <w:jc w:val="left"/>
        <w:rPr>
          <w:rFonts w:ascii="宋体" w:hAnsi="宋体"/>
          <w:snapToGrid w:val="0"/>
          <w:kern w:val="0"/>
          <w:sz w:val="24"/>
          <w:highlight w:val="none"/>
        </w:rPr>
      </w:pPr>
    </w:p>
    <w:p w14:paraId="0475CD42">
      <w:pPr>
        <w:pStyle w:val="30"/>
        <w:jc w:val="right"/>
        <w:rPr>
          <w:rFonts w:hint="eastAsia" w:ascii="宋体" w:hAnsi="宋体"/>
          <w:snapToGrid w:val="0"/>
          <w:highlight w:val="none"/>
        </w:rPr>
      </w:pPr>
      <w:r>
        <w:rPr>
          <w:rFonts w:hint="eastAsia" w:ascii="宋体" w:hAnsi="宋体"/>
          <w:snapToGrid w:val="0"/>
          <w:highlight w:val="none"/>
        </w:rPr>
        <w:t>年 月 日</w:t>
      </w:r>
    </w:p>
    <w:p w14:paraId="2C3368DB">
      <w:pPr>
        <w:pStyle w:val="30"/>
        <w:rPr>
          <w:rFonts w:hAnsi="宋体"/>
          <w:highlight w:val="none"/>
        </w:rPr>
      </w:pPr>
    </w:p>
    <w:p w14:paraId="5DEF64E3">
      <w:pPr>
        <w:pStyle w:val="30"/>
        <w:rPr>
          <w:rFonts w:hint="eastAsia" w:ascii="宋体" w:hAnsi="宋体"/>
          <w:bCs/>
          <w:snapToGrid w:val="0"/>
          <w:szCs w:val="24"/>
          <w:highlight w:val="none"/>
        </w:rPr>
      </w:pPr>
    </w:p>
    <w:p w14:paraId="0522B528">
      <w:pPr>
        <w:pStyle w:val="30"/>
        <w:spacing w:before="88"/>
        <w:jc w:val="left"/>
        <w:rPr>
          <w:rFonts w:hint="eastAsia" w:ascii="宋体" w:hAnsi="宋体"/>
          <w:highlight w:val="none"/>
          <w:lang w:val="en-US" w:eastAsia="zh-CN"/>
        </w:rPr>
      </w:pPr>
      <w:r>
        <w:rPr>
          <w:rFonts w:ascii="宋体" w:hAnsi="宋体"/>
          <w:highlight w:val="none"/>
        </w:rPr>
        <w:br w:type="page"/>
      </w:r>
      <w:r>
        <w:rPr>
          <w:rFonts w:hint="eastAsia" w:ascii="宋体" w:hAnsi="宋体"/>
          <w:highlight w:val="none"/>
          <w:lang w:val="en-US" w:eastAsia="zh-CN"/>
        </w:rPr>
        <w:t>8、供应商认为应提供的其他材料</w:t>
      </w:r>
    </w:p>
    <w:p w14:paraId="568758F0">
      <w:pPr>
        <w:pStyle w:val="62"/>
        <w:rPr>
          <w:rFonts w:hint="default"/>
          <w:b/>
          <w:bCs/>
          <w:sz w:val="24"/>
          <w:szCs w:val="24"/>
          <w:highlight w:val="none"/>
          <w:lang w:val="en-US" w:eastAsia="zh-CN"/>
        </w:rPr>
      </w:pPr>
      <w:r>
        <w:rPr>
          <w:rFonts w:hint="default"/>
          <w:b/>
          <w:bCs/>
          <w:sz w:val="24"/>
          <w:szCs w:val="24"/>
          <w:highlight w:val="none"/>
          <w:lang w:val="en-US" w:eastAsia="zh-CN"/>
        </w:rPr>
        <w:t>参与B包的供应商须符合应急管理部关于印发《消防技术服务机构从业条件》规定，在社会消防技术服务信息系统中依规登记备案。</w:t>
      </w:r>
    </w:p>
    <w:p w14:paraId="502D8DB4">
      <w:pPr>
        <w:rPr>
          <w:rFonts w:hint="default"/>
          <w:b/>
          <w:bCs/>
          <w:sz w:val="24"/>
          <w:szCs w:val="24"/>
          <w:highlight w:val="none"/>
          <w:lang w:val="en-US" w:eastAsia="zh-CN"/>
        </w:rPr>
      </w:pPr>
      <w:r>
        <w:rPr>
          <w:rFonts w:hint="default"/>
          <w:b/>
          <w:bCs/>
          <w:sz w:val="24"/>
          <w:szCs w:val="24"/>
          <w:highlight w:val="none"/>
          <w:lang w:val="en-US" w:eastAsia="zh-CN"/>
        </w:rPr>
        <w:br w:type="page"/>
      </w:r>
    </w:p>
    <w:p w14:paraId="4FC35A3F">
      <w:pPr>
        <w:pStyle w:val="69"/>
        <w:keepNext w:val="0"/>
        <w:keepLines w:val="0"/>
        <w:widowControl/>
        <w:suppressLineNumbers w:val="0"/>
        <w:spacing w:before="0" w:beforeAutospacing="0" w:after="0" w:afterAutospacing="0" w:line="260" w:lineRule="atLeast"/>
        <w:ind w:left="0" w:right="0"/>
        <w:jc w:val="left"/>
        <w:outlineLvl w:val="2"/>
        <w:rPr>
          <w:rFonts w:hint="eastAsia" w:ascii="宋体" w:hAnsi="宋体" w:eastAsia="宋体" w:cs="Times New Roman"/>
          <w:b/>
          <w:kern w:val="0"/>
          <w:sz w:val="24"/>
          <w:szCs w:val="24"/>
          <w:highlight w:val="none"/>
          <w:lang w:val="en-US" w:eastAsia="zh-CN" w:bidi="ar-SA"/>
        </w:rPr>
      </w:pPr>
      <w:bookmarkStart w:id="152" w:name="_Toc30909"/>
      <w:r>
        <w:rPr>
          <w:rFonts w:hint="eastAsia" w:ascii="宋体" w:hAnsi="宋体" w:eastAsia="宋体" w:cs="Times New Roman"/>
          <w:b/>
          <w:kern w:val="0"/>
          <w:sz w:val="24"/>
          <w:szCs w:val="24"/>
          <w:highlight w:val="none"/>
          <w:lang w:val="en-US" w:eastAsia="zh-CN" w:bidi="ar-SA"/>
        </w:rPr>
        <w:t>附件十三：政府采购诚信承诺书</w:t>
      </w:r>
      <w:bookmarkEnd w:id="152"/>
    </w:p>
    <w:p w14:paraId="0ECA77F4">
      <w:pPr>
        <w:pStyle w:val="69"/>
        <w:keepNext w:val="0"/>
        <w:keepLines w:val="0"/>
        <w:widowControl/>
        <w:suppressLineNumbers w:val="0"/>
        <w:spacing w:before="0" w:beforeAutospacing="0" w:after="0" w:afterAutospacing="0" w:line="260" w:lineRule="atLeast"/>
        <w:ind w:left="0" w:right="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shd w:val="clear" w:fill="FFFFFF"/>
        </w:rPr>
        <w:t xml:space="preserve">政府采购诚信承诺书 </w:t>
      </w:r>
    </w:p>
    <w:p w14:paraId="28646EF8">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u w:val="single"/>
          <w:shd w:val="clear" w:fill="FFFFFF"/>
        </w:rPr>
        <w:t>（招标人）</w:t>
      </w:r>
      <w:r>
        <w:rPr>
          <w:rFonts w:hint="eastAsia" w:asciiTheme="minorEastAsia" w:hAnsiTheme="minorEastAsia" w:eastAsiaTheme="minorEastAsia" w:cstheme="minorEastAsia"/>
          <w:color w:val="auto"/>
          <w:sz w:val="24"/>
          <w:szCs w:val="24"/>
          <w:highlight w:val="none"/>
          <w:u w:val="single"/>
          <w:shd w:val="clear" w:fill="FFFFFF"/>
          <w:lang w:val="en-US" w:eastAsia="zh-CN"/>
        </w:rPr>
        <w:t xml:space="preserve">             </w:t>
      </w:r>
      <w:r>
        <w:rPr>
          <w:rFonts w:hint="eastAsia" w:asciiTheme="minorEastAsia" w:hAnsiTheme="minorEastAsia" w:eastAsiaTheme="minorEastAsia" w:cstheme="minorEastAsia"/>
          <w:b/>
          <w:bCs/>
          <w:color w:val="auto"/>
          <w:sz w:val="24"/>
          <w:szCs w:val="24"/>
          <w:highlight w:val="none"/>
          <w:shd w:val="clear" w:fill="FFFFFF"/>
        </w:rPr>
        <w:t xml:space="preserve">: </w:t>
      </w:r>
    </w:p>
    <w:p w14:paraId="0109FB43">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shd w:val="clear" w:fill="FFFFFF"/>
        </w:rPr>
        <w:t>我公司</w:t>
      </w:r>
      <w:r>
        <w:rPr>
          <w:rFonts w:hint="eastAsia" w:asciiTheme="minorEastAsia" w:hAnsiTheme="minorEastAsia" w:eastAsiaTheme="minorEastAsia" w:cstheme="minorEastAsia"/>
          <w:color w:val="auto"/>
          <w:sz w:val="24"/>
          <w:szCs w:val="24"/>
          <w:highlight w:val="none"/>
          <w:u w:val="single"/>
          <w:shd w:val="clear" w:fill="FFFFFF"/>
        </w:rPr>
        <w:t>（投标人名称）</w:t>
      </w:r>
      <w:r>
        <w:rPr>
          <w:rFonts w:hint="eastAsia" w:asciiTheme="minorEastAsia" w:hAnsiTheme="minorEastAsia" w:eastAsiaTheme="minorEastAsia" w:cstheme="minorEastAsia"/>
          <w:color w:val="auto"/>
          <w:sz w:val="24"/>
          <w:szCs w:val="24"/>
          <w:highlight w:val="none"/>
          <w:shd w:val="clear" w:fill="FFFFFF"/>
        </w:rPr>
        <w:t>已详细阅读了</w:t>
      </w:r>
      <w:r>
        <w:rPr>
          <w:rFonts w:hint="eastAsia" w:asciiTheme="minorEastAsia" w:hAnsiTheme="minorEastAsia" w:eastAsiaTheme="minorEastAsia" w:cstheme="minorEastAsia"/>
          <w:color w:val="auto"/>
          <w:sz w:val="24"/>
          <w:szCs w:val="24"/>
          <w:highlight w:val="none"/>
          <w:u w:val="single"/>
          <w:shd w:val="clear" w:fill="FFFFFF"/>
          <w:lang w:val="en-US" w:eastAsia="zh-CN"/>
        </w:rPr>
        <w:t xml:space="preserve">          </w:t>
      </w:r>
      <w:r>
        <w:rPr>
          <w:rFonts w:hint="eastAsia" w:asciiTheme="minorEastAsia" w:hAnsiTheme="minorEastAsia" w:eastAsiaTheme="minorEastAsia" w:cstheme="minorEastAsia"/>
          <w:color w:val="auto"/>
          <w:sz w:val="24"/>
          <w:szCs w:val="24"/>
          <w:highlight w:val="none"/>
          <w:u w:val="single"/>
          <w:shd w:val="clear" w:fill="FFFFFF"/>
        </w:rPr>
        <w:t>项目</w:t>
      </w:r>
      <w:r>
        <w:rPr>
          <w:rFonts w:hint="eastAsia" w:asciiTheme="minorEastAsia" w:hAnsiTheme="minorEastAsia" w:eastAsiaTheme="minorEastAsia" w:cstheme="minorEastAsia"/>
          <w:color w:val="auto"/>
          <w:sz w:val="24"/>
          <w:szCs w:val="24"/>
          <w:highlight w:val="none"/>
          <w:shd w:val="clear" w:fill="FFFFFF"/>
        </w:rPr>
        <w:t>（项目编号：</w:t>
      </w:r>
      <w:r>
        <w:rPr>
          <w:rFonts w:hint="eastAsia" w:asciiTheme="minorEastAsia" w:hAnsiTheme="minorEastAsia" w:eastAsiaTheme="minorEastAsia" w:cstheme="minorEastAsia"/>
          <w:color w:val="auto"/>
          <w:sz w:val="24"/>
          <w:szCs w:val="24"/>
          <w:highlight w:val="none"/>
          <w:u w:val="single"/>
          <w:shd w:val="clear" w:fill="FFFFFF"/>
          <w:lang w:val="en-US" w:eastAsia="zh-CN"/>
        </w:rPr>
        <w:t xml:space="preserve">       </w:t>
      </w:r>
      <w:r>
        <w:rPr>
          <w:rFonts w:hint="eastAsia" w:asciiTheme="minorEastAsia" w:hAnsiTheme="minorEastAsia" w:eastAsiaTheme="minorEastAsia" w:cstheme="minorEastAsia"/>
          <w:color w:val="auto"/>
          <w:sz w:val="24"/>
          <w:szCs w:val="24"/>
          <w:highlight w:val="none"/>
          <w:shd w:val="clear" w:fill="FFFFFF"/>
        </w:rPr>
        <w:t>）招标文件，自愿参加本次投标，现就有关事项郑重承诺如下：</w:t>
      </w:r>
    </w:p>
    <w:p w14:paraId="1ED8EE75">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shd w:val="clear" w:fill="FFFFFF"/>
        </w:rPr>
        <w:t>一、诚信投标，材料真实。我公司保证所提供的全部材料、投标内容均真实、合法、有效，保证不出借或者借用其他企业资质，不以他人名义投标，不弄虚作假；未列入失信被执行人、重大税收违法案件当事人名单、政府采购严重违法失信行为记录名单及其他不符合《中华人民共和国政府采购法》第二十二条规定条件。</w:t>
      </w:r>
    </w:p>
    <w:p w14:paraId="01936D3C">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shd w:val="clear" w:fill="FFFFFF"/>
        </w:rPr>
        <w:t>二、遵纪守法，公平竞争。不与其他投标人相互串通、哄抬价格，不排挤其他投标人，不损害招标人的合法权益；不向招标人、招标代理机构、评标委员会成员等及其他参与招标活动的人员行贿或采用其他不正当手段谋取中标。</w:t>
      </w:r>
    </w:p>
    <w:p w14:paraId="72AAE943">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shd w:val="clear" w:fill="FFFFFF"/>
        </w:rPr>
        <w:t>三、不捏造事实或借用他人名义进行虚假、恶意质疑和投诉，不以质疑或投诉为名排挤竞争对手，干扰政府采购秩序。</w:t>
      </w:r>
    </w:p>
    <w:p w14:paraId="5A577058">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shd w:val="clear" w:fill="FFFFFF"/>
        </w:rPr>
        <w:t>四、若中标后，将按照规定及时与招标人签订政府采购合同，不与招标人订立有悖于招标结果的合同或协议；严格履行政府采购合同，不降低合同约定的产品质量及相关服务，不擅自变更、中止、终止合同，或者拒绝履行合同义务。</w:t>
      </w:r>
    </w:p>
    <w:p w14:paraId="3FF28F4D">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shd w:val="clear" w:fill="FFFFFF"/>
        </w:rPr>
        <w:t>若有违反以上承诺内容的行为，我公司自愿接受取消投标资格、记入信用档案、没收投标保证金、媒体通报、1～3年内禁止参与泰安市政府采购活动等处罚；如已中标的，自动放弃中标资格，并承担全部法律责任；给招标人造成损失的，依法承担赔偿责任。</w:t>
      </w:r>
    </w:p>
    <w:p w14:paraId="4667374B">
      <w:pPr>
        <w:pStyle w:val="69"/>
        <w:keepNext w:val="0"/>
        <w:keepLines w:val="0"/>
        <w:widowControl/>
        <w:suppressLineNumbers w:val="0"/>
        <w:spacing w:before="0" w:beforeAutospacing="0" w:after="0" w:afterAutospacing="0" w:line="260" w:lineRule="atLeast"/>
        <w:ind w:left="0" w:right="0" w:firstLine="480"/>
        <w:rPr>
          <w:color w:val="auto"/>
          <w:highlight w:val="none"/>
        </w:rPr>
      </w:pPr>
      <w:r>
        <w:rPr>
          <w:rFonts w:hint="eastAsia" w:ascii="微软雅黑" w:hAnsi="微软雅黑" w:eastAsia="微软雅黑" w:cs="微软雅黑"/>
          <w:color w:val="auto"/>
          <w:sz w:val="13"/>
          <w:szCs w:val="13"/>
          <w:highlight w:val="none"/>
          <w:shd w:val="clear" w:fill="FFFFFF"/>
        </w:rPr>
        <w:t> </w:t>
      </w:r>
    </w:p>
    <w:p w14:paraId="1DAF24D2">
      <w:pPr>
        <w:pStyle w:val="69"/>
        <w:keepNext w:val="0"/>
        <w:keepLines w:val="0"/>
        <w:widowControl/>
        <w:suppressLineNumbers w:val="0"/>
        <w:spacing w:before="0" w:beforeAutospacing="0" w:after="0" w:afterAutospacing="0" w:line="240" w:lineRule="auto"/>
        <w:ind w:left="0" w:right="0" w:firstLine="480"/>
        <w:rPr>
          <w:rFonts w:hint="eastAsia" w:ascii="宋体" w:hAnsi="宋体" w:eastAsia="宋体" w:cs="宋体"/>
          <w:color w:val="auto"/>
          <w:sz w:val="24"/>
          <w:szCs w:val="24"/>
          <w:highlight w:val="none"/>
        </w:rPr>
      </w:pPr>
      <w:r>
        <w:rPr>
          <w:rFonts w:hint="eastAsia" w:ascii="微软雅黑" w:hAnsi="微软雅黑" w:eastAsia="微软雅黑" w:cs="微软雅黑"/>
          <w:color w:val="auto"/>
          <w:sz w:val="13"/>
          <w:szCs w:val="13"/>
          <w:highlight w:val="none"/>
          <w:shd w:val="clear" w:fill="FFFFFF"/>
        </w:rPr>
        <w:t> </w:t>
      </w:r>
      <w:r>
        <w:rPr>
          <w:rFonts w:hint="eastAsia" w:ascii="微软雅黑" w:hAnsi="微软雅黑" w:eastAsia="微软雅黑" w:cs="微软雅黑"/>
          <w:color w:val="auto"/>
          <w:sz w:val="13"/>
          <w:szCs w:val="13"/>
          <w:highlight w:val="none"/>
          <w:shd w:val="clear" w:fill="FFFFFF"/>
          <w:lang w:val="en-US" w:eastAsia="zh-CN"/>
        </w:rPr>
        <w:t xml:space="preserve">                      </w:t>
      </w:r>
      <w:r>
        <w:rPr>
          <w:rFonts w:hint="eastAsia" w:ascii="宋体" w:hAnsi="宋体" w:eastAsia="宋体" w:cs="宋体"/>
          <w:color w:val="auto"/>
          <w:sz w:val="24"/>
          <w:szCs w:val="24"/>
          <w:highlight w:val="none"/>
          <w:shd w:val="clear" w:fill="FFFFFF"/>
        </w:rPr>
        <w:t>投标人名称（公章）：</w:t>
      </w:r>
    </w:p>
    <w:p w14:paraId="4D754340">
      <w:pPr>
        <w:pStyle w:val="69"/>
        <w:keepNext w:val="0"/>
        <w:keepLines w:val="0"/>
        <w:widowControl/>
        <w:suppressLineNumbers w:val="0"/>
        <w:spacing w:before="0" w:beforeAutospacing="0" w:after="0" w:afterAutospacing="0" w:line="240" w:lineRule="auto"/>
        <w:ind w:left="0" w:right="0" w:firstLine="2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shd w:val="clear" w:fill="FFFFFF"/>
        </w:rPr>
        <w:t>法定代表人（签字或盖章）：</w:t>
      </w:r>
    </w:p>
    <w:p w14:paraId="5022BC28">
      <w:pPr>
        <w:pStyle w:val="69"/>
        <w:keepNext w:val="0"/>
        <w:keepLines w:val="0"/>
        <w:widowControl/>
        <w:suppressLineNumbers w:val="0"/>
        <w:spacing w:before="0" w:beforeAutospacing="0" w:after="0" w:afterAutospacing="0" w:line="240" w:lineRule="auto"/>
        <w:ind w:left="0" w:right="0" w:firstLine="2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shd w:val="clear" w:fill="FFFFFF"/>
        </w:rPr>
        <w:t>日期：</w:t>
      </w:r>
      <w:r>
        <w:rPr>
          <w:rFonts w:hint="eastAsia" w:ascii="宋体" w:hAnsi="宋体" w:eastAsia="宋体" w:cs="宋体"/>
          <w:color w:val="auto"/>
          <w:sz w:val="24"/>
          <w:szCs w:val="24"/>
          <w:highlight w:val="none"/>
          <w:shd w:val="clear" w:fill="FFFFFF"/>
        </w:rPr>
        <w:pict>
          <v:shape id="_x0000_i1025" o:spt="201" type="#_x0000_t201" style="height:0pt;width:0.05pt;" filled="f" coordsize="21600,21600">
            <v:path/>
            <v:fill on="f" focussize="0,0"/>
            <v:stroke/>
            <v:imagedata o:title=""/>
            <o:lock v:ext="edit" aspectratio="t"/>
            <w10:wrap type="none"/>
            <w10:anchorlock/>
          </v:shape>
        </w:pict>
      </w:r>
    </w:p>
    <w:p w14:paraId="5E4A7EEB">
      <w:pPr>
        <w:pStyle w:val="69"/>
        <w:keepNext w:val="0"/>
        <w:keepLines w:val="0"/>
        <w:widowControl/>
        <w:suppressLineNumbers w:val="0"/>
        <w:wordWrap/>
        <w:spacing w:before="0" w:beforeAutospacing="0" w:after="0" w:afterAutospacing="0" w:line="240" w:lineRule="auto"/>
        <w:ind w:right="0"/>
        <w:jc w:val="left"/>
        <w:rPr>
          <w:rFonts w:hint="eastAsia" w:ascii="宋体" w:hAnsi="宋体" w:eastAsia="宋体" w:cs="宋体"/>
          <w:color w:val="auto"/>
          <w:sz w:val="24"/>
          <w:szCs w:val="24"/>
          <w:highlight w:val="none"/>
          <w:shd w:val="clear" w:fill="FFFFFF"/>
        </w:rPr>
      </w:pPr>
      <w:r>
        <w:rPr>
          <w:rFonts w:hint="eastAsia" w:ascii="宋体" w:hAnsi="宋体" w:eastAsia="宋体" w:cs="宋体"/>
          <w:color w:val="auto"/>
          <w:sz w:val="24"/>
          <w:szCs w:val="24"/>
          <w:highlight w:val="none"/>
          <w:shd w:val="clear" w:fill="FFFFFF"/>
        </w:rPr>
        <w:t>注：信用记录查询网址为www.creditchina.gov.cn或</w:t>
      </w:r>
      <w:r>
        <w:rPr>
          <w:rFonts w:hint="eastAsia" w:ascii="宋体" w:hAnsi="宋体" w:eastAsia="宋体" w:cs="宋体"/>
          <w:color w:val="auto"/>
          <w:sz w:val="24"/>
          <w:szCs w:val="24"/>
          <w:highlight w:val="none"/>
          <w:shd w:val="clear" w:fill="FFFFFF"/>
        </w:rPr>
        <w:fldChar w:fldCharType="begin"/>
      </w:r>
      <w:r>
        <w:rPr>
          <w:rFonts w:hint="eastAsia" w:ascii="宋体" w:hAnsi="宋体" w:eastAsia="宋体" w:cs="宋体"/>
          <w:color w:val="auto"/>
          <w:sz w:val="24"/>
          <w:szCs w:val="24"/>
          <w:highlight w:val="none"/>
          <w:shd w:val="clear" w:fill="FFFFFF"/>
        </w:rPr>
        <w:instrText xml:space="preserve"> HYPERLINK "http://www.ccgp.gov.cn。" </w:instrText>
      </w:r>
      <w:r>
        <w:rPr>
          <w:rFonts w:hint="eastAsia" w:ascii="宋体" w:hAnsi="宋体" w:eastAsia="宋体" w:cs="宋体"/>
          <w:color w:val="auto"/>
          <w:sz w:val="24"/>
          <w:szCs w:val="24"/>
          <w:highlight w:val="none"/>
          <w:shd w:val="clear" w:fill="FFFFFF"/>
        </w:rPr>
        <w:fldChar w:fldCharType="separate"/>
      </w:r>
      <w:r>
        <w:rPr>
          <w:rStyle w:val="130"/>
          <w:rFonts w:hint="eastAsia" w:ascii="宋体" w:hAnsi="宋体" w:eastAsia="宋体" w:cs="宋体"/>
          <w:sz w:val="24"/>
          <w:szCs w:val="24"/>
          <w:highlight w:val="none"/>
          <w:shd w:val="clear" w:fill="FFFFFF"/>
        </w:rPr>
        <w:t>www.ccgp.gov.cn。</w:t>
      </w:r>
      <w:r>
        <w:rPr>
          <w:rStyle w:val="130"/>
          <w:rFonts w:hint="eastAsia" w:ascii="宋体" w:hAnsi="宋体" w:eastAsia="宋体" w:cs="宋体"/>
          <w:sz w:val="24"/>
          <w:szCs w:val="24"/>
          <w:highlight w:val="none"/>
          <w:shd w:val="clear" w:fill="FFFFFF"/>
        </w:rPr>
        <w:br w:type="page"/>
      </w:r>
      <w:r>
        <w:rPr>
          <w:rFonts w:hint="eastAsia" w:ascii="宋体" w:hAnsi="宋体" w:eastAsia="宋体" w:cs="宋体"/>
          <w:color w:val="auto"/>
          <w:sz w:val="24"/>
          <w:szCs w:val="24"/>
          <w:highlight w:val="none"/>
          <w:shd w:val="clear" w:fill="FFFFFF"/>
        </w:rPr>
        <w:fldChar w:fldCharType="end"/>
      </w:r>
    </w:p>
    <w:p w14:paraId="26719D98">
      <w:pPr>
        <w:pStyle w:val="69"/>
        <w:keepNext w:val="0"/>
        <w:keepLines w:val="0"/>
        <w:widowControl/>
        <w:suppressLineNumbers w:val="0"/>
        <w:wordWrap/>
        <w:spacing w:before="0" w:beforeAutospacing="0" w:after="0" w:afterAutospacing="0" w:line="240" w:lineRule="auto"/>
        <w:ind w:right="0"/>
        <w:jc w:val="left"/>
        <w:outlineLvl w:val="2"/>
        <w:rPr>
          <w:rFonts w:hint="default" w:ascii="宋体" w:hAnsi="宋体" w:eastAsia="宋体" w:cs="宋体"/>
          <w:b/>
          <w:bCs/>
          <w:color w:val="auto"/>
          <w:sz w:val="24"/>
          <w:szCs w:val="24"/>
          <w:highlight w:val="none"/>
          <w:shd w:val="clear" w:fill="FFFFFF"/>
          <w:lang w:val="en-US" w:eastAsia="zh-CN"/>
        </w:rPr>
      </w:pPr>
      <w:bookmarkStart w:id="153" w:name="_Toc29596"/>
      <w:r>
        <w:rPr>
          <w:rFonts w:hint="eastAsia" w:cs="宋体"/>
          <w:b/>
          <w:bCs/>
          <w:color w:val="auto"/>
          <w:sz w:val="24"/>
          <w:szCs w:val="24"/>
          <w:highlight w:val="none"/>
          <w:shd w:val="clear" w:fill="FFFFFF"/>
          <w:lang w:val="en-US" w:eastAsia="zh-CN"/>
        </w:rPr>
        <w:t>附件十四：招标文件公平竞争审查自查表</w:t>
      </w:r>
      <w:bookmarkEnd w:id="153"/>
    </w:p>
    <w:p w14:paraId="5F2AA30B">
      <w:pPr>
        <w:rPr>
          <w:rFonts w:hint="default" w:ascii="宋体" w:hAnsi="宋体" w:eastAsia="宋体" w:cs="宋体"/>
          <w:color w:val="auto"/>
          <w:sz w:val="24"/>
          <w:szCs w:val="24"/>
          <w:highlight w:val="none"/>
          <w:shd w:val="clear" w:fill="FFFFFF"/>
          <w:lang w:val="en-US" w:eastAsia="zh-CN"/>
        </w:rPr>
      </w:pPr>
      <w:r>
        <w:drawing>
          <wp:inline distT="0" distB="0" distL="114300" distR="114300">
            <wp:extent cx="5511800" cy="7664450"/>
            <wp:effectExtent l="0" t="0" r="0"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511800" cy="7664450"/>
                    </a:xfrm>
                    <a:prstGeom prst="rect">
                      <a:avLst/>
                    </a:prstGeom>
                    <a:noFill/>
                    <a:ln>
                      <a:noFill/>
                    </a:ln>
                  </pic:spPr>
                </pic:pic>
              </a:graphicData>
            </a:graphic>
          </wp:inline>
        </w:drawing>
      </w:r>
      <w:r>
        <w:drawing>
          <wp:inline distT="0" distB="0" distL="114300" distR="114300">
            <wp:extent cx="5689600" cy="77597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5689600" cy="7759700"/>
                    </a:xfrm>
                    <a:prstGeom prst="rect">
                      <a:avLst/>
                    </a:prstGeom>
                    <a:noFill/>
                    <a:ln>
                      <a:noFill/>
                    </a:ln>
                  </pic:spPr>
                </pic:pic>
              </a:graphicData>
            </a:graphic>
          </wp:inline>
        </w:drawing>
      </w:r>
    </w:p>
    <w:sectPr>
      <w:headerReference r:id="rId7" w:type="default"/>
      <w:pgSz w:w="11907" w:h="16840"/>
      <w:pgMar w:top="1418" w:right="1418" w:bottom="1418" w:left="1418" w:header="851" w:footer="822" w:gutter="0"/>
      <w:pgNumType w:fmt="decimal"/>
      <w:cols w:space="720" w:num="1"/>
      <w:docGrid w:type="lines"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auto"/>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40001" w:csb1="00000000"/>
  </w:font>
  <w:font w:name="TimesNewRomanPSMT">
    <w:altName w:val="Times New Roman"/>
    <w:panose1 w:val="00000000000000000000"/>
    <w:charset w:val="00"/>
    <w:family w:val="roman"/>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EAAC">
    <w:pPr>
      <w:spacing w:line="200" w:lineRule="exact"/>
      <w:rPr>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82C16B">
                          <w:pPr>
                            <w:pStyle w:val="4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tF9+N4BAAC+AwAADgAAAGRycy9lMm9Eb2MueG1srVPBjtMwEL0j8Q+W&#10;7zTZroS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pfc+aEpYGfv387//h1/vmV&#10;LZM8vY8VZd17ysPhNQy0NLM/kjOxHtpg05/4MIqTuKeLuGpAJtOl1XK1KikkKTYfCL94uO5DxDcK&#10;LEtGzQNNL4sqju8ijqlzSqrm4E4bkydo3F8OwkyeIvU+9pgsHHbDRGgHzYn40DOgOh2EL5z1tAQ1&#10;d7TznJm3jjRO+zIbYTZ2syGcpIs1R85G8xbHvTr4oPdd3rTUVPSvDk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e0X343gEAAL4DAAAOAAAAAAAA&#10;AAEAIAAAAB4BAABkcnMvZTJvRG9jLnhtbFBLBQYAAAAABgAGAFkBAABuBQAAAAA=&#10;">
              <v:fill on="f" focussize="0,0"/>
              <v:stroke on="f"/>
              <v:imagedata o:title=""/>
              <o:lock v:ext="edit" aspectratio="f"/>
              <v:textbox inset="0mm,0mm,0mm,0mm" style="mso-fit-shape-to-text:t;">
                <w:txbxContent>
                  <w:p w14:paraId="3F82C16B">
                    <w:pPr>
                      <w:pStyle w:val="4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C247C">
    <w:pPr>
      <w:spacing w:line="200" w:lineRule="exact"/>
      <w:rPr>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57777A">
                          <w:pPr>
                            <w:pStyle w:val="4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EtDmx3gEAAL4DAAAOAAAAAAAA&#10;AAEAIAAAAB4BAABkcnMvZTJvRG9jLnhtbFBLBQYAAAAABgAGAFkBAABuBQAAAAA=&#10;">
              <v:fill on="f" focussize="0,0"/>
              <v:stroke on="f"/>
              <v:imagedata o:title=""/>
              <o:lock v:ext="edit" aspectratio="f"/>
              <v:textbox inset="0mm,0mm,0mm,0mm" style="mso-fit-shape-to-text:t;">
                <w:txbxContent>
                  <w:p w14:paraId="4E57777A">
                    <w:pPr>
                      <w:pStyle w:val="4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9B168">
    <w:pPr>
      <w:spacing w:line="200" w:lineRule="exact"/>
      <w:rPr>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D41063">
                          <w:pPr>
                            <w:pStyle w:val="4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om5dHdAQAAvgMAAA4AAAAAAAAA&#10;AQAgAAAAHgEAAGRycy9lMm9Eb2MueG1sUEsFBgAAAAAGAAYAWQEAAG0FAAAAAA==&#10;">
              <v:fill on="f" focussize="0,0"/>
              <v:stroke on="f"/>
              <v:imagedata o:title=""/>
              <o:lock v:ext="edit" aspectratio="f"/>
              <v:textbox inset="0mm,0mm,0mm,0mm" style="mso-fit-shape-to-text:t;">
                <w:txbxContent>
                  <w:p w14:paraId="42D41063">
                    <w:pPr>
                      <w:pStyle w:val="4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62D16">
    <w:pPr>
      <w:pStyle w:val="51"/>
      <w:pBdr>
        <w:bottom w:val="none" w:color="auto" w:sz="0" w:space="1"/>
      </w:pBdr>
      <w:jc w:val="both"/>
      <w:rPr>
        <w:rFonts w:ascii="宋体"/>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2B525">
    <w:pPr>
      <w:pStyle w:val="5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0EE865"/>
    <w:multiLevelType w:val="singleLevel"/>
    <w:tmpl w:val="B50EE865"/>
    <w:lvl w:ilvl="0" w:tentative="0">
      <w:start w:val="1"/>
      <w:numFmt w:val="decimal"/>
      <w:suff w:val="nothing"/>
      <w:lvlText w:val="%1、"/>
      <w:lvlJc w:val="left"/>
    </w:lvl>
  </w:abstractNum>
  <w:abstractNum w:abstractNumId="1">
    <w:nsid w:val="BB0D32A7"/>
    <w:multiLevelType w:val="singleLevel"/>
    <w:tmpl w:val="BB0D32A7"/>
    <w:lvl w:ilvl="0" w:tentative="0">
      <w:start w:val="1"/>
      <w:numFmt w:val="decimal"/>
      <w:suff w:val="nothing"/>
      <w:lvlText w:val="（%1）"/>
      <w:lvlJc w:val="left"/>
    </w:lvl>
  </w:abstractNum>
  <w:abstractNum w:abstractNumId="2">
    <w:nsid w:val="D8ADBA5E"/>
    <w:multiLevelType w:val="singleLevel"/>
    <w:tmpl w:val="D8ADBA5E"/>
    <w:lvl w:ilvl="0" w:tentative="0">
      <w:start w:val="1"/>
      <w:numFmt w:val="decimal"/>
      <w:suff w:val="nothing"/>
      <w:lvlText w:val="%1）"/>
      <w:lvlJc w:val="left"/>
    </w:lvl>
  </w:abstractNum>
  <w:abstractNum w:abstractNumId="3">
    <w:nsid w:val="DFE327F0"/>
    <w:multiLevelType w:val="singleLevel"/>
    <w:tmpl w:val="DFE327F0"/>
    <w:lvl w:ilvl="0" w:tentative="0">
      <w:start w:val="1"/>
      <w:numFmt w:val="decimal"/>
      <w:suff w:val="nothing"/>
      <w:lvlText w:val="（%1）"/>
      <w:lvlJc w:val="left"/>
    </w:lvl>
  </w:abstractNum>
  <w:abstractNum w:abstractNumId="4">
    <w:nsid w:val="E311D57C"/>
    <w:multiLevelType w:val="singleLevel"/>
    <w:tmpl w:val="E311D57C"/>
    <w:lvl w:ilvl="0" w:tentative="0">
      <w:start w:val="1"/>
      <w:numFmt w:val="decimal"/>
      <w:suff w:val="nothing"/>
      <w:lvlText w:val="（%1）"/>
      <w:lvlJc w:val="left"/>
    </w:lvl>
  </w:abstractNum>
  <w:abstractNum w:abstractNumId="5">
    <w:nsid w:val="E3E8E1F2"/>
    <w:multiLevelType w:val="singleLevel"/>
    <w:tmpl w:val="E3E8E1F2"/>
    <w:lvl w:ilvl="0" w:tentative="0">
      <w:start w:val="2"/>
      <w:numFmt w:val="chineseCounting"/>
      <w:suff w:val="space"/>
      <w:lvlText w:val="第%1章"/>
      <w:lvlJc w:val="left"/>
      <w:rPr>
        <w:rFonts w:hint="eastAsia"/>
      </w:rPr>
    </w:lvl>
  </w:abstractNum>
  <w:abstractNum w:abstractNumId="6">
    <w:nsid w:val="E76E2A3F"/>
    <w:multiLevelType w:val="singleLevel"/>
    <w:tmpl w:val="E76E2A3F"/>
    <w:lvl w:ilvl="0" w:tentative="0">
      <w:start w:val="1"/>
      <w:numFmt w:val="decimal"/>
      <w:suff w:val="nothing"/>
      <w:lvlText w:val="%1、"/>
      <w:lvlJc w:val="left"/>
    </w:lvl>
  </w:abstractNum>
  <w:abstractNum w:abstractNumId="7">
    <w:nsid w:val="EE860AC6"/>
    <w:multiLevelType w:val="singleLevel"/>
    <w:tmpl w:val="EE860AC6"/>
    <w:lvl w:ilvl="0" w:tentative="0">
      <w:start w:val="1"/>
      <w:numFmt w:val="decimal"/>
      <w:suff w:val="nothing"/>
      <w:lvlText w:val="（%1）"/>
      <w:lvlJc w:val="left"/>
    </w:lvl>
  </w:abstractNum>
  <w:abstractNum w:abstractNumId="8">
    <w:nsid w:val="F5E3F65B"/>
    <w:multiLevelType w:val="singleLevel"/>
    <w:tmpl w:val="F5E3F65B"/>
    <w:lvl w:ilvl="0" w:tentative="0">
      <w:start w:val="12"/>
      <w:numFmt w:val="decimal"/>
      <w:suff w:val="space"/>
      <w:lvlText w:val="%1."/>
      <w:lvlJc w:val="left"/>
    </w:lvl>
  </w:abstractNum>
  <w:abstractNum w:abstractNumId="9">
    <w:nsid w:val="1587F05F"/>
    <w:multiLevelType w:val="singleLevel"/>
    <w:tmpl w:val="1587F05F"/>
    <w:lvl w:ilvl="0" w:tentative="0">
      <w:start w:val="1"/>
      <w:numFmt w:val="decimal"/>
      <w:suff w:val="nothing"/>
      <w:lvlText w:val="（%1）"/>
      <w:lvlJc w:val="left"/>
    </w:lvl>
  </w:abstractNum>
  <w:abstractNum w:abstractNumId="10">
    <w:nsid w:val="229F5DE5"/>
    <w:multiLevelType w:val="multilevel"/>
    <w:tmpl w:val="229F5DE5"/>
    <w:lvl w:ilvl="0" w:tentative="0">
      <w:start w:val="3"/>
      <w:numFmt w:val="decimal"/>
      <w:pStyle w:val="43"/>
      <w:lvlText w:val="%1．"/>
      <w:lvlJc w:val="left"/>
      <w:pPr>
        <w:tabs>
          <w:tab w:val="left" w:pos="360"/>
        </w:tabs>
        <w:ind w:left="360" w:hanging="360"/>
      </w:pPr>
      <w:rPr>
        <w:rFonts w:hint="default" w:cs="Times New Roman"/>
      </w:rPr>
    </w:lvl>
    <w:lvl w:ilvl="1" w:tentative="0">
      <w:start w:val="1"/>
      <w:numFmt w:val="lowerLetter"/>
      <w:pStyle w:val="235"/>
      <w:lvlText w:val="%2)"/>
      <w:lvlJc w:val="left"/>
      <w:pPr>
        <w:tabs>
          <w:tab w:val="left" w:pos="840"/>
        </w:tabs>
        <w:ind w:left="840" w:hanging="420"/>
      </w:pPr>
      <w:rPr>
        <w:rFonts w:cs="Times New Roman"/>
      </w:rPr>
    </w:lvl>
    <w:lvl w:ilvl="2" w:tentative="0">
      <w:start w:val="1"/>
      <w:numFmt w:val="lowerRoman"/>
      <w:pStyle w:val="279"/>
      <w:lvlText w:val="%3."/>
      <w:lvlJc w:val="right"/>
      <w:pPr>
        <w:tabs>
          <w:tab w:val="left" w:pos="1260"/>
        </w:tabs>
        <w:ind w:left="1260" w:hanging="420"/>
      </w:pPr>
      <w:rPr>
        <w:rFonts w:cs="Times New Roman"/>
      </w:rPr>
    </w:lvl>
    <w:lvl w:ilvl="3" w:tentative="0">
      <w:start w:val="1"/>
      <w:numFmt w:val="decimal"/>
      <w:pStyle w:val="291"/>
      <w:lvlText w:val="%4."/>
      <w:lvlJc w:val="left"/>
      <w:pPr>
        <w:tabs>
          <w:tab w:val="left" w:pos="1680"/>
        </w:tabs>
        <w:ind w:left="1680" w:hanging="420"/>
      </w:pPr>
      <w:rPr>
        <w:rFonts w:cs="Times New Roman"/>
      </w:rPr>
    </w:lvl>
    <w:lvl w:ilvl="4" w:tentative="0">
      <w:start w:val="1"/>
      <w:numFmt w:val="lowerLetter"/>
      <w:pStyle w:val="290"/>
      <w:lvlText w:val="%5)"/>
      <w:lvlJc w:val="left"/>
      <w:pPr>
        <w:tabs>
          <w:tab w:val="left" w:pos="2100"/>
        </w:tabs>
        <w:ind w:left="2100" w:hanging="420"/>
      </w:pPr>
      <w:rPr>
        <w:rFonts w:cs="Times New Roman"/>
      </w:rPr>
    </w:lvl>
    <w:lvl w:ilvl="5" w:tentative="0">
      <w:start w:val="1"/>
      <w:numFmt w:val="lowerRoman"/>
      <w:pStyle w:val="225"/>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1">
    <w:nsid w:val="414961C1"/>
    <w:multiLevelType w:val="singleLevel"/>
    <w:tmpl w:val="414961C1"/>
    <w:lvl w:ilvl="0" w:tentative="0">
      <w:start w:val="1"/>
      <w:numFmt w:val="decimal"/>
      <w:suff w:val="nothing"/>
      <w:lvlText w:val="（%1）"/>
      <w:lvlJc w:val="left"/>
    </w:lvl>
  </w:abstractNum>
  <w:abstractNum w:abstractNumId="12">
    <w:nsid w:val="59C5F03F"/>
    <w:multiLevelType w:val="singleLevel"/>
    <w:tmpl w:val="59C5F03F"/>
    <w:lvl w:ilvl="0" w:tentative="0">
      <w:start w:val="3"/>
      <w:numFmt w:val="chineseCounting"/>
      <w:suff w:val="space"/>
      <w:lvlText w:val="第%1章"/>
      <w:lvlJc w:val="left"/>
      <w:rPr>
        <w:rFonts w:hint="eastAsia"/>
      </w:rPr>
    </w:lvl>
  </w:abstractNum>
  <w:abstractNum w:abstractNumId="13">
    <w:nsid w:val="5AA75E1B"/>
    <w:multiLevelType w:val="singleLevel"/>
    <w:tmpl w:val="5AA75E1B"/>
    <w:lvl w:ilvl="0" w:tentative="0">
      <w:start w:val="1"/>
      <w:numFmt w:val="decimal"/>
      <w:suff w:val="nothing"/>
      <w:lvlText w:val="%1、"/>
      <w:lvlJc w:val="left"/>
    </w:lvl>
  </w:abstractNum>
  <w:abstractNum w:abstractNumId="14">
    <w:nsid w:val="7507E636"/>
    <w:multiLevelType w:val="singleLevel"/>
    <w:tmpl w:val="7507E636"/>
    <w:lvl w:ilvl="0" w:tentative="0">
      <w:start w:val="2"/>
      <w:numFmt w:val="chineseCounting"/>
      <w:suff w:val="nothing"/>
      <w:lvlText w:val="%1、"/>
      <w:lvlJc w:val="left"/>
      <w:rPr>
        <w:rFonts w:hint="eastAsia"/>
      </w:rPr>
    </w:lvl>
  </w:abstractNum>
  <w:abstractNum w:abstractNumId="15">
    <w:nsid w:val="790A5199"/>
    <w:multiLevelType w:val="singleLevel"/>
    <w:tmpl w:val="790A5199"/>
    <w:lvl w:ilvl="0" w:tentative="0">
      <w:start w:val="1"/>
      <w:numFmt w:val="decimal"/>
      <w:suff w:val="nothing"/>
      <w:lvlText w:val="（%1）"/>
      <w:lvlJc w:val="left"/>
    </w:lvl>
  </w:abstractNum>
  <w:num w:numId="1">
    <w:abstractNumId w:val="10"/>
  </w:num>
  <w:num w:numId="2">
    <w:abstractNumId w:val="5"/>
  </w:num>
  <w:num w:numId="3">
    <w:abstractNumId w:val="8"/>
  </w:num>
  <w:num w:numId="4">
    <w:abstractNumId w:val="2"/>
  </w:num>
  <w:num w:numId="5">
    <w:abstractNumId w:val="12"/>
  </w:num>
  <w:num w:numId="6">
    <w:abstractNumId w:val="14"/>
  </w:num>
  <w:num w:numId="7">
    <w:abstractNumId w:val="9"/>
  </w:num>
  <w:num w:numId="8">
    <w:abstractNumId w:val="7"/>
  </w:num>
  <w:num w:numId="9">
    <w:abstractNumId w:val="3"/>
  </w:num>
  <w:num w:numId="10">
    <w:abstractNumId w:val="1"/>
  </w:num>
  <w:num w:numId="11">
    <w:abstractNumId w:val="11"/>
  </w:num>
  <w:num w:numId="12">
    <w:abstractNumId w:val="15"/>
  </w:num>
  <w:num w:numId="13">
    <w:abstractNumId w:val="13"/>
  </w:num>
  <w:num w:numId="14">
    <w:abstractNumId w:val="0"/>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0"/>
  <w:bordersDoNotSurroundFooter w:val="0"/>
  <w:documentProtection w:enforcement="0"/>
  <w:defaultTabStop w:val="420"/>
  <w:hyphenationZone w:val="360"/>
  <w:drawingGridHorizontalSpacing w:val="191"/>
  <w:drawingGridVerticalSpacing w:val="145"/>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yNGFkOTMyZmYxOGNlYTEzZjczYmM3ZjYwNDRkNWIifQ=="/>
  </w:docVars>
  <w:rsids>
    <w:rsidRoot w:val="00B9162F"/>
    <w:rsid w:val="000009EA"/>
    <w:rsid w:val="0000153C"/>
    <w:rsid w:val="00001634"/>
    <w:rsid w:val="00002344"/>
    <w:rsid w:val="00002350"/>
    <w:rsid w:val="000027CE"/>
    <w:rsid w:val="00002FBC"/>
    <w:rsid w:val="00003971"/>
    <w:rsid w:val="000048DF"/>
    <w:rsid w:val="00005A6F"/>
    <w:rsid w:val="00007080"/>
    <w:rsid w:val="000071C5"/>
    <w:rsid w:val="00007867"/>
    <w:rsid w:val="00007958"/>
    <w:rsid w:val="0001010F"/>
    <w:rsid w:val="000107DF"/>
    <w:rsid w:val="00011230"/>
    <w:rsid w:val="00012AD5"/>
    <w:rsid w:val="0001316F"/>
    <w:rsid w:val="000132D4"/>
    <w:rsid w:val="00013F12"/>
    <w:rsid w:val="00013F6C"/>
    <w:rsid w:val="000146C2"/>
    <w:rsid w:val="000148D8"/>
    <w:rsid w:val="00015085"/>
    <w:rsid w:val="00015188"/>
    <w:rsid w:val="000152B7"/>
    <w:rsid w:val="000154D7"/>
    <w:rsid w:val="00016B7F"/>
    <w:rsid w:val="00016F96"/>
    <w:rsid w:val="00016FFA"/>
    <w:rsid w:val="00017221"/>
    <w:rsid w:val="0001728C"/>
    <w:rsid w:val="00017880"/>
    <w:rsid w:val="00021257"/>
    <w:rsid w:val="0002169C"/>
    <w:rsid w:val="00022410"/>
    <w:rsid w:val="00022959"/>
    <w:rsid w:val="00022CBE"/>
    <w:rsid w:val="00022D09"/>
    <w:rsid w:val="00022E8F"/>
    <w:rsid w:val="00022FFB"/>
    <w:rsid w:val="00023ED5"/>
    <w:rsid w:val="00024146"/>
    <w:rsid w:val="0002456C"/>
    <w:rsid w:val="00024AB5"/>
    <w:rsid w:val="00024EE4"/>
    <w:rsid w:val="00025D3B"/>
    <w:rsid w:val="00026173"/>
    <w:rsid w:val="000265E7"/>
    <w:rsid w:val="00027FCE"/>
    <w:rsid w:val="00031311"/>
    <w:rsid w:val="000315AF"/>
    <w:rsid w:val="000318B5"/>
    <w:rsid w:val="000319A9"/>
    <w:rsid w:val="00031F00"/>
    <w:rsid w:val="000329A4"/>
    <w:rsid w:val="00032B55"/>
    <w:rsid w:val="00032BAF"/>
    <w:rsid w:val="000335CE"/>
    <w:rsid w:val="00033D68"/>
    <w:rsid w:val="0003473D"/>
    <w:rsid w:val="00034D65"/>
    <w:rsid w:val="00034DD1"/>
    <w:rsid w:val="00034E5A"/>
    <w:rsid w:val="000350C2"/>
    <w:rsid w:val="000352BA"/>
    <w:rsid w:val="0003540C"/>
    <w:rsid w:val="00035833"/>
    <w:rsid w:val="00035A98"/>
    <w:rsid w:val="00035C18"/>
    <w:rsid w:val="00035CEB"/>
    <w:rsid w:val="00036624"/>
    <w:rsid w:val="00036707"/>
    <w:rsid w:val="00036991"/>
    <w:rsid w:val="0003772C"/>
    <w:rsid w:val="00040F52"/>
    <w:rsid w:val="00041806"/>
    <w:rsid w:val="00041C7D"/>
    <w:rsid w:val="00042234"/>
    <w:rsid w:val="000426F9"/>
    <w:rsid w:val="00042716"/>
    <w:rsid w:val="00042F7C"/>
    <w:rsid w:val="000434AA"/>
    <w:rsid w:val="00043E23"/>
    <w:rsid w:val="00043E9D"/>
    <w:rsid w:val="00043EA2"/>
    <w:rsid w:val="00043F53"/>
    <w:rsid w:val="00044EFB"/>
    <w:rsid w:val="00045404"/>
    <w:rsid w:val="000456CE"/>
    <w:rsid w:val="00045774"/>
    <w:rsid w:val="00046208"/>
    <w:rsid w:val="00046A50"/>
    <w:rsid w:val="00046F00"/>
    <w:rsid w:val="0004719A"/>
    <w:rsid w:val="000471EC"/>
    <w:rsid w:val="000503C1"/>
    <w:rsid w:val="00050A4E"/>
    <w:rsid w:val="00050C78"/>
    <w:rsid w:val="000525EB"/>
    <w:rsid w:val="00052AAC"/>
    <w:rsid w:val="000533A2"/>
    <w:rsid w:val="00054386"/>
    <w:rsid w:val="000544A9"/>
    <w:rsid w:val="000546B1"/>
    <w:rsid w:val="00054E7E"/>
    <w:rsid w:val="00055043"/>
    <w:rsid w:val="000557E4"/>
    <w:rsid w:val="000559CF"/>
    <w:rsid w:val="00055BF8"/>
    <w:rsid w:val="000561BD"/>
    <w:rsid w:val="00056812"/>
    <w:rsid w:val="00056BAC"/>
    <w:rsid w:val="00056D5B"/>
    <w:rsid w:val="00060555"/>
    <w:rsid w:val="000608FC"/>
    <w:rsid w:val="0006100D"/>
    <w:rsid w:val="0006144D"/>
    <w:rsid w:val="00062007"/>
    <w:rsid w:val="0006264A"/>
    <w:rsid w:val="00062A55"/>
    <w:rsid w:val="00062ADB"/>
    <w:rsid w:val="00063EC6"/>
    <w:rsid w:val="0006458E"/>
    <w:rsid w:val="00064C64"/>
    <w:rsid w:val="00064D28"/>
    <w:rsid w:val="00065ED1"/>
    <w:rsid w:val="00066261"/>
    <w:rsid w:val="000668CA"/>
    <w:rsid w:val="00066DEF"/>
    <w:rsid w:val="00070205"/>
    <w:rsid w:val="00070D6B"/>
    <w:rsid w:val="00071A6C"/>
    <w:rsid w:val="00072497"/>
    <w:rsid w:val="0007255D"/>
    <w:rsid w:val="00072965"/>
    <w:rsid w:val="0007336E"/>
    <w:rsid w:val="0007345D"/>
    <w:rsid w:val="0007367F"/>
    <w:rsid w:val="00074646"/>
    <w:rsid w:val="00074703"/>
    <w:rsid w:val="000751EC"/>
    <w:rsid w:val="0007590B"/>
    <w:rsid w:val="0007642E"/>
    <w:rsid w:val="0007697F"/>
    <w:rsid w:val="00076C5A"/>
    <w:rsid w:val="00077566"/>
    <w:rsid w:val="0007764A"/>
    <w:rsid w:val="0007775E"/>
    <w:rsid w:val="00077888"/>
    <w:rsid w:val="0008005E"/>
    <w:rsid w:val="00080833"/>
    <w:rsid w:val="00080C20"/>
    <w:rsid w:val="000812BB"/>
    <w:rsid w:val="00081462"/>
    <w:rsid w:val="00081D2F"/>
    <w:rsid w:val="00081F56"/>
    <w:rsid w:val="00081FE6"/>
    <w:rsid w:val="00082354"/>
    <w:rsid w:val="00082719"/>
    <w:rsid w:val="000827EC"/>
    <w:rsid w:val="000829AD"/>
    <w:rsid w:val="00082A06"/>
    <w:rsid w:val="0008312C"/>
    <w:rsid w:val="000835DC"/>
    <w:rsid w:val="00083B66"/>
    <w:rsid w:val="00083E13"/>
    <w:rsid w:val="00084395"/>
    <w:rsid w:val="0008495C"/>
    <w:rsid w:val="00084D53"/>
    <w:rsid w:val="00085922"/>
    <w:rsid w:val="00085A7F"/>
    <w:rsid w:val="00087790"/>
    <w:rsid w:val="00087A0D"/>
    <w:rsid w:val="0009000E"/>
    <w:rsid w:val="000915DF"/>
    <w:rsid w:val="00091E23"/>
    <w:rsid w:val="00093A61"/>
    <w:rsid w:val="0009481E"/>
    <w:rsid w:val="0009482C"/>
    <w:rsid w:val="00094F8C"/>
    <w:rsid w:val="000955F3"/>
    <w:rsid w:val="00097043"/>
    <w:rsid w:val="00097087"/>
    <w:rsid w:val="00097301"/>
    <w:rsid w:val="00097BF6"/>
    <w:rsid w:val="000A0DE6"/>
    <w:rsid w:val="000A1162"/>
    <w:rsid w:val="000A11F7"/>
    <w:rsid w:val="000A1957"/>
    <w:rsid w:val="000A1D61"/>
    <w:rsid w:val="000A39DF"/>
    <w:rsid w:val="000A4279"/>
    <w:rsid w:val="000A4BC8"/>
    <w:rsid w:val="000A4E21"/>
    <w:rsid w:val="000A5966"/>
    <w:rsid w:val="000A5B54"/>
    <w:rsid w:val="000A5FCE"/>
    <w:rsid w:val="000A6D07"/>
    <w:rsid w:val="000A738D"/>
    <w:rsid w:val="000A7500"/>
    <w:rsid w:val="000A7A27"/>
    <w:rsid w:val="000B0837"/>
    <w:rsid w:val="000B0DC1"/>
    <w:rsid w:val="000B15E3"/>
    <w:rsid w:val="000B1AE1"/>
    <w:rsid w:val="000B1E71"/>
    <w:rsid w:val="000B235B"/>
    <w:rsid w:val="000B27A1"/>
    <w:rsid w:val="000B294E"/>
    <w:rsid w:val="000B2D0E"/>
    <w:rsid w:val="000B3095"/>
    <w:rsid w:val="000B31E3"/>
    <w:rsid w:val="000B32ED"/>
    <w:rsid w:val="000B3516"/>
    <w:rsid w:val="000B3C69"/>
    <w:rsid w:val="000B3CA4"/>
    <w:rsid w:val="000B403D"/>
    <w:rsid w:val="000B4653"/>
    <w:rsid w:val="000B46A8"/>
    <w:rsid w:val="000B47E5"/>
    <w:rsid w:val="000B5380"/>
    <w:rsid w:val="000B5F32"/>
    <w:rsid w:val="000B5F78"/>
    <w:rsid w:val="000B68A8"/>
    <w:rsid w:val="000B6CFE"/>
    <w:rsid w:val="000B6F17"/>
    <w:rsid w:val="000B796D"/>
    <w:rsid w:val="000C0035"/>
    <w:rsid w:val="000C00C7"/>
    <w:rsid w:val="000C0CD7"/>
    <w:rsid w:val="000C0D41"/>
    <w:rsid w:val="000C1482"/>
    <w:rsid w:val="000C14E5"/>
    <w:rsid w:val="000C2283"/>
    <w:rsid w:val="000C2810"/>
    <w:rsid w:val="000C290D"/>
    <w:rsid w:val="000C29D9"/>
    <w:rsid w:val="000C3E86"/>
    <w:rsid w:val="000C4FDF"/>
    <w:rsid w:val="000C570B"/>
    <w:rsid w:val="000C625C"/>
    <w:rsid w:val="000C6280"/>
    <w:rsid w:val="000C6631"/>
    <w:rsid w:val="000C722B"/>
    <w:rsid w:val="000C7332"/>
    <w:rsid w:val="000C7362"/>
    <w:rsid w:val="000C749A"/>
    <w:rsid w:val="000C771F"/>
    <w:rsid w:val="000C7D3D"/>
    <w:rsid w:val="000C7D67"/>
    <w:rsid w:val="000C7E61"/>
    <w:rsid w:val="000D05AB"/>
    <w:rsid w:val="000D0C47"/>
    <w:rsid w:val="000D208B"/>
    <w:rsid w:val="000D2114"/>
    <w:rsid w:val="000D2284"/>
    <w:rsid w:val="000D28B9"/>
    <w:rsid w:val="000D2D73"/>
    <w:rsid w:val="000D359F"/>
    <w:rsid w:val="000D3AF8"/>
    <w:rsid w:val="000D3B35"/>
    <w:rsid w:val="000D5577"/>
    <w:rsid w:val="000D568C"/>
    <w:rsid w:val="000D58DE"/>
    <w:rsid w:val="000D63B1"/>
    <w:rsid w:val="000D6999"/>
    <w:rsid w:val="000D6B0B"/>
    <w:rsid w:val="000D7009"/>
    <w:rsid w:val="000D7949"/>
    <w:rsid w:val="000D7987"/>
    <w:rsid w:val="000E0831"/>
    <w:rsid w:val="000E0BC0"/>
    <w:rsid w:val="000E163D"/>
    <w:rsid w:val="000E237D"/>
    <w:rsid w:val="000E2D6E"/>
    <w:rsid w:val="000E3179"/>
    <w:rsid w:val="000E3DCB"/>
    <w:rsid w:val="000E41B2"/>
    <w:rsid w:val="000E4631"/>
    <w:rsid w:val="000E51F4"/>
    <w:rsid w:val="000E60B9"/>
    <w:rsid w:val="000E62A5"/>
    <w:rsid w:val="000E63C7"/>
    <w:rsid w:val="000E6715"/>
    <w:rsid w:val="000E6C2C"/>
    <w:rsid w:val="000E7082"/>
    <w:rsid w:val="000E72F4"/>
    <w:rsid w:val="000E7FED"/>
    <w:rsid w:val="000F0DCB"/>
    <w:rsid w:val="000F12D9"/>
    <w:rsid w:val="000F2C66"/>
    <w:rsid w:val="000F4158"/>
    <w:rsid w:val="000F4A24"/>
    <w:rsid w:val="000F4FD5"/>
    <w:rsid w:val="000F5110"/>
    <w:rsid w:val="000F5767"/>
    <w:rsid w:val="000F5887"/>
    <w:rsid w:val="000F5DB7"/>
    <w:rsid w:val="000F70F6"/>
    <w:rsid w:val="000F7AF9"/>
    <w:rsid w:val="000F7D31"/>
    <w:rsid w:val="000F7E96"/>
    <w:rsid w:val="0010034F"/>
    <w:rsid w:val="00100395"/>
    <w:rsid w:val="00100487"/>
    <w:rsid w:val="00100C4E"/>
    <w:rsid w:val="0010134B"/>
    <w:rsid w:val="001018C3"/>
    <w:rsid w:val="00101CF3"/>
    <w:rsid w:val="0010249F"/>
    <w:rsid w:val="0010405F"/>
    <w:rsid w:val="0010473F"/>
    <w:rsid w:val="00105030"/>
    <w:rsid w:val="00105DFD"/>
    <w:rsid w:val="00107485"/>
    <w:rsid w:val="00107FF5"/>
    <w:rsid w:val="0011018F"/>
    <w:rsid w:val="00110694"/>
    <w:rsid w:val="00110C5A"/>
    <w:rsid w:val="00111282"/>
    <w:rsid w:val="00111B53"/>
    <w:rsid w:val="00111CE0"/>
    <w:rsid w:val="00111F4E"/>
    <w:rsid w:val="00111FC7"/>
    <w:rsid w:val="001123B3"/>
    <w:rsid w:val="001125DB"/>
    <w:rsid w:val="00113B8A"/>
    <w:rsid w:val="00113F6B"/>
    <w:rsid w:val="0011497E"/>
    <w:rsid w:val="00115AD4"/>
    <w:rsid w:val="00116205"/>
    <w:rsid w:val="0011740B"/>
    <w:rsid w:val="00117982"/>
    <w:rsid w:val="00117DC0"/>
    <w:rsid w:val="001209B4"/>
    <w:rsid w:val="00120B4D"/>
    <w:rsid w:val="00120C2B"/>
    <w:rsid w:val="00120FD8"/>
    <w:rsid w:val="00121116"/>
    <w:rsid w:val="001218A2"/>
    <w:rsid w:val="00121A78"/>
    <w:rsid w:val="001221B5"/>
    <w:rsid w:val="00122601"/>
    <w:rsid w:val="001230F2"/>
    <w:rsid w:val="00123851"/>
    <w:rsid w:val="00123868"/>
    <w:rsid w:val="00123AD8"/>
    <w:rsid w:val="00123DEE"/>
    <w:rsid w:val="0012413C"/>
    <w:rsid w:val="0012418E"/>
    <w:rsid w:val="00124649"/>
    <w:rsid w:val="001246EC"/>
    <w:rsid w:val="00124BA4"/>
    <w:rsid w:val="00125724"/>
    <w:rsid w:val="00125778"/>
    <w:rsid w:val="00125E44"/>
    <w:rsid w:val="001261B5"/>
    <w:rsid w:val="001261C1"/>
    <w:rsid w:val="001265BF"/>
    <w:rsid w:val="001268ED"/>
    <w:rsid w:val="001270D7"/>
    <w:rsid w:val="00127462"/>
    <w:rsid w:val="0013045D"/>
    <w:rsid w:val="0013149B"/>
    <w:rsid w:val="00131599"/>
    <w:rsid w:val="0013224E"/>
    <w:rsid w:val="001322AA"/>
    <w:rsid w:val="00132491"/>
    <w:rsid w:val="00132ACC"/>
    <w:rsid w:val="00133E47"/>
    <w:rsid w:val="00133FD3"/>
    <w:rsid w:val="00134C7A"/>
    <w:rsid w:val="001351CB"/>
    <w:rsid w:val="001352DE"/>
    <w:rsid w:val="00135A49"/>
    <w:rsid w:val="001362D5"/>
    <w:rsid w:val="00140C6D"/>
    <w:rsid w:val="00141284"/>
    <w:rsid w:val="001413D7"/>
    <w:rsid w:val="0014283F"/>
    <w:rsid w:val="001435FA"/>
    <w:rsid w:val="0014380A"/>
    <w:rsid w:val="00143881"/>
    <w:rsid w:val="001438CA"/>
    <w:rsid w:val="00144EF5"/>
    <w:rsid w:val="001450D8"/>
    <w:rsid w:val="0014619D"/>
    <w:rsid w:val="00146B75"/>
    <w:rsid w:val="00146C64"/>
    <w:rsid w:val="00146F63"/>
    <w:rsid w:val="00150206"/>
    <w:rsid w:val="00150653"/>
    <w:rsid w:val="0015098F"/>
    <w:rsid w:val="001513CC"/>
    <w:rsid w:val="00152392"/>
    <w:rsid w:val="0015252B"/>
    <w:rsid w:val="001538D0"/>
    <w:rsid w:val="00155784"/>
    <w:rsid w:val="00156E9B"/>
    <w:rsid w:val="0015733D"/>
    <w:rsid w:val="00157AFB"/>
    <w:rsid w:val="00160100"/>
    <w:rsid w:val="00160749"/>
    <w:rsid w:val="0016100E"/>
    <w:rsid w:val="00161426"/>
    <w:rsid w:val="00161C5A"/>
    <w:rsid w:val="0016256D"/>
    <w:rsid w:val="00162772"/>
    <w:rsid w:val="00162EFF"/>
    <w:rsid w:val="0016303B"/>
    <w:rsid w:val="00163172"/>
    <w:rsid w:val="00163568"/>
    <w:rsid w:val="00163628"/>
    <w:rsid w:val="00163D37"/>
    <w:rsid w:val="00164243"/>
    <w:rsid w:val="00164A47"/>
    <w:rsid w:val="00164EDE"/>
    <w:rsid w:val="001656D7"/>
    <w:rsid w:val="0016641A"/>
    <w:rsid w:val="001665C5"/>
    <w:rsid w:val="001669F3"/>
    <w:rsid w:val="00167B95"/>
    <w:rsid w:val="00167F50"/>
    <w:rsid w:val="00170108"/>
    <w:rsid w:val="001702DE"/>
    <w:rsid w:val="00170987"/>
    <w:rsid w:val="00170C08"/>
    <w:rsid w:val="0017209C"/>
    <w:rsid w:val="00173066"/>
    <w:rsid w:val="00173077"/>
    <w:rsid w:val="00175D31"/>
    <w:rsid w:val="00176E34"/>
    <w:rsid w:val="00177135"/>
    <w:rsid w:val="00177455"/>
    <w:rsid w:val="001776E3"/>
    <w:rsid w:val="00180F32"/>
    <w:rsid w:val="00181056"/>
    <w:rsid w:val="0018133A"/>
    <w:rsid w:val="0018150E"/>
    <w:rsid w:val="001822BB"/>
    <w:rsid w:val="00182A99"/>
    <w:rsid w:val="00182CEF"/>
    <w:rsid w:val="00183ED5"/>
    <w:rsid w:val="00185BDC"/>
    <w:rsid w:val="00185BF7"/>
    <w:rsid w:val="00185C3F"/>
    <w:rsid w:val="00185E6A"/>
    <w:rsid w:val="00187095"/>
    <w:rsid w:val="00187783"/>
    <w:rsid w:val="00187879"/>
    <w:rsid w:val="001913C7"/>
    <w:rsid w:val="0019170C"/>
    <w:rsid w:val="00191858"/>
    <w:rsid w:val="00192745"/>
    <w:rsid w:val="00192BD0"/>
    <w:rsid w:val="00193C7E"/>
    <w:rsid w:val="001949CC"/>
    <w:rsid w:val="00194A8C"/>
    <w:rsid w:val="001952DE"/>
    <w:rsid w:val="00195330"/>
    <w:rsid w:val="00195548"/>
    <w:rsid w:val="001961D2"/>
    <w:rsid w:val="001963DF"/>
    <w:rsid w:val="001968D0"/>
    <w:rsid w:val="0019702D"/>
    <w:rsid w:val="00197062"/>
    <w:rsid w:val="001978C1"/>
    <w:rsid w:val="0019799C"/>
    <w:rsid w:val="001979E8"/>
    <w:rsid w:val="00197F5B"/>
    <w:rsid w:val="001A073F"/>
    <w:rsid w:val="001A1268"/>
    <w:rsid w:val="001A1572"/>
    <w:rsid w:val="001A24BD"/>
    <w:rsid w:val="001A26F4"/>
    <w:rsid w:val="001A281C"/>
    <w:rsid w:val="001A2C60"/>
    <w:rsid w:val="001A3453"/>
    <w:rsid w:val="001A3A07"/>
    <w:rsid w:val="001A4145"/>
    <w:rsid w:val="001A4A08"/>
    <w:rsid w:val="001A4E1E"/>
    <w:rsid w:val="001A5B04"/>
    <w:rsid w:val="001A5D71"/>
    <w:rsid w:val="001A60E7"/>
    <w:rsid w:val="001A6BD0"/>
    <w:rsid w:val="001A731C"/>
    <w:rsid w:val="001A7475"/>
    <w:rsid w:val="001A7A9C"/>
    <w:rsid w:val="001B06A9"/>
    <w:rsid w:val="001B0A67"/>
    <w:rsid w:val="001B0CD1"/>
    <w:rsid w:val="001B0EF8"/>
    <w:rsid w:val="001B1185"/>
    <w:rsid w:val="001B14B7"/>
    <w:rsid w:val="001B1501"/>
    <w:rsid w:val="001B1DA6"/>
    <w:rsid w:val="001B2220"/>
    <w:rsid w:val="001B2860"/>
    <w:rsid w:val="001B2A48"/>
    <w:rsid w:val="001B33D2"/>
    <w:rsid w:val="001B3F1E"/>
    <w:rsid w:val="001B4407"/>
    <w:rsid w:val="001B47AE"/>
    <w:rsid w:val="001B49A4"/>
    <w:rsid w:val="001B49D5"/>
    <w:rsid w:val="001B50E3"/>
    <w:rsid w:val="001B50E7"/>
    <w:rsid w:val="001B5AA3"/>
    <w:rsid w:val="001B5AF3"/>
    <w:rsid w:val="001B5E0B"/>
    <w:rsid w:val="001B6013"/>
    <w:rsid w:val="001B65B8"/>
    <w:rsid w:val="001B6B9E"/>
    <w:rsid w:val="001B6D45"/>
    <w:rsid w:val="001B7537"/>
    <w:rsid w:val="001B7C3E"/>
    <w:rsid w:val="001B7DE3"/>
    <w:rsid w:val="001C0403"/>
    <w:rsid w:val="001C0486"/>
    <w:rsid w:val="001C0ED3"/>
    <w:rsid w:val="001C1689"/>
    <w:rsid w:val="001C1ADC"/>
    <w:rsid w:val="001C253E"/>
    <w:rsid w:val="001C2565"/>
    <w:rsid w:val="001C2F7A"/>
    <w:rsid w:val="001C3080"/>
    <w:rsid w:val="001C335A"/>
    <w:rsid w:val="001C3608"/>
    <w:rsid w:val="001C3E1F"/>
    <w:rsid w:val="001C3F85"/>
    <w:rsid w:val="001C3FC6"/>
    <w:rsid w:val="001C4120"/>
    <w:rsid w:val="001C4BA9"/>
    <w:rsid w:val="001C4C0C"/>
    <w:rsid w:val="001C4E33"/>
    <w:rsid w:val="001C5DA2"/>
    <w:rsid w:val="001C6606"/>
    <w:rsid w:val="001C763B"/>
    <w:rsid w:val="001C7789"/>
    <w:rsid w:val="001C799A"/>
    <w:rsid w:val="001C7A11"/>
    <w:rsid w:val="001C7C53"/>
    <w:rsid w:val="001C7CB7"/>
    <w:rsid w:val="001C7F81"/>
    <w:rsid w:val="001D0FCC"/>
    <w:rsid w:val="001D11C3"/>
    <w:rsid w:val="001D15AA"/>
    <w:rsid w:val="001D1B0C"/>
    <w:rsid w:val="001D29B4"/>
    <w:rsid w:val="001D2B40"/>
    <w:rsid w:val="001D3B91"/>
    <w:rsid w:val="001D3C19"/>
    <w:rsid w:val="001D4198"/>
    <w:rsid w:val="001D5948"/>
    <w:rsid w:val="001D5AF2"/>
    <w:rsid w:val="001D61E8"/>
    <w:rsid w:val="001D65A4"/>
    <w:rsid w:val="001D664D"/>
    <w:rsid w:val="001D6EF1"/>
    <w:rsid w:val="001D757E"/>
    <w:rsid w:val="001D784C"/>
    <w:rsid w:val="001D7FBA"/>
    <w:rsid w:val="001E0247"/>
    <w:rsid w:val="001E052F"/>
    <w:rsid w:val="001E0800"/>
    <w:rsid w:val="001E1469"/>
    <w:rsid w:val="001E1909"/>
    <w:rsid w:val="001E1E5C"/>
    <w:rsid w:val="001E1F20"/>
    <w:rsid w:val="001E1F6C"/>
    <w:rsid w:val="001E2CF7"/>
    <w:rsid w:val="001E3346"/>
    <w:rsid w:val="001E3550"/>
    <w:rsid w:val="001E37E0"/>
    <w:rsid w:val="001E37E2"/>
    <w:rsid w:val="001E392A"/>
    <w:rsid w:val="001E3C69"/>
    <w:rsid w:val="001E44B8"/>
    <w:rsid w:val="001E4A64"/>
    <w:rsid w:val="001E4D67"/>
    <w:rsid w:val="001E5366"/>
    <w:rsid w:val="001E6265"/>
    <w:rsid w:val="001E656B"/>
    <w:rsid w:val="001E6816"/>
    <w:rsid w:val="001E6AB5"/>
    <w:rsid w:val="001F026E"/>
    <w:rsid w:val="001F0739"/>
    <w:rsid w:val="001F0C63"/>
    <w:rsid w:val="001F105D"/>
    <w:rsid w:val="001F1267"/>
    <w:rsid w:val="001F1369"/>
    <w:rsid w:val="001F1E78"/>
    <w:rsid w:val="001F1EF0"/>
    <w:rsid w:val="001F2FC0"/>
    <w:rsid w:val="001F38AC"/>
    <w:rsid w:val="001F38E5"/>
    <w:rsid w:val="001F3A43"/>
    <w:rsid w:val="001F3A5A"/>
    <w:rsid w:val="001F41F5"/>
    <w:rsid w:val="001F476D"/>
    <w:rsid w:val="001F4818"/>
    <w:rsid w:val="001F4B19"/>
    <w:rsid w:val="001F5486"/>
    <w:rsid w:val="001F57EA"/>
    <w:rsid w:val="001F5999"/>
    <w:rsid w:val="001F5CB8"/>
    <w:rsid w:val="001F5CEA"/>
    <w:rsid w:val="001F5D9B"/>
    <w:rsid w:val="001F5FEE"/>
    <w:rsid w:val="001F6285"/>
    <w:rsid w:val="001F630E"/>
    <w:rsid w:val="001F66CC"/>
    <w:rsid w:val="001F6D65"/>
    <w:rsid w:val="001F726F"/>
    <w:rsid w:val="001F7A29"/>
    <w:rsid w:val="00200570"/>
    <w:rsid w:val="002006D1"/>
    <w:rsid w:val="002016BE"/>
    <w:rsid w:val="00201A5F"/>
    <w:rsid w:val="00201F59"/>
    <w:rsid w:val="00202ED0"/>
    <w:rsid w:val="002035B2"/>
    <w:rsid w:val="00203736"/>
    <w:rsid w:val="00203E1F"/>
    <w:rsid w:val="0020474D"/>
    <w:rsid w:val="0020480A"/>
    <w:rsid w:val="0020498A"/>
    <w:rsid w:val="00204B6D"/>
    <w:rsid w:val="00204DB0"/>
    <w:rsid w:val="0020549F"/>
    <w:rsid w:val="00205B44"/>
    <w:rsid w:val="002063A2"/>
    <w:rsid w:val="002067C6"/>
    <w:rsid w:val="00206F8E"/>
    <w:rsid w:val="00207560"/>
    <w:rsid w:val="00207DF9"/>
    <w:rsid w:val="0021144A"/>
    <w:rsid w:val="0021162F"/>
    <w:rsid w:val="0021242B"/>
    <w:rsid w:val="00213274"/>
    <w:rsid w:val="00213586"/>
    <w:rsid w:val="0021376F"/>
    <w:rsid w:val="00213A15"/>
    <w:rsid w:val="00213BFE"/>
    <w:rsid w:val="00213DBB"/>
    <w:rsid w:val="00216087"/>
    <w:rsid w:val="002166C3"/>
    <w:rsid w:val="00216718"/>
    <w:rsid w:val="00216F39"/>
    <w:rsid w:val="0021710C"/>
    <w:rsid w:val="00217365"/>
    <w:rsid w:val="002176D7"/>
    <w:rsid w:val="00217BBC"/>
    <w:rsid w:val="00220BD9"/>
    <w:rsid w:val="0022269B"/>
    <w:rsid w:val="00222B9C"/>
    <w:rsid w:val="0022503A"/>
    <w:rsid w:val="00225628"/>
    <w:rsid w:val="00225718"/>
    <w:rsid w:val="00226485"/>
    <w:rsid w:val="0022662A"/>
    <w:rsid w:val="002267A5"/>
    <w:rsid w:val="00226EAF"/>
    <w:rsid w:val="00226F6F"/>
    <w:rsid w:val="002271A9"/>
    <w:rsid w:val="002302C1"/>
    <w:rsid w:val="0023070B"/>
    <w:rsid w:val="00231704"/>
    <w:rsid w:val="00232DC6"/>
    <w:rsid w:val="00232FF3"/>
    <w:rsid w:val="00232FFE"/>
    <w:rsid w:val="002336E3"/>
    <w:rsid w:val="002337CD"/>
    <w:rsid w:val="00234180"/>
    <w:rsid w:val="00234AC7"/>
    <w:rsid w:val="00234BFC"/>
    <w:rsid w:val="00234E2B"/>
    <w:rsid w:val="0023524B"/>
    <w:rsid w:val="00235B45"/>
    <w:rsid w:val="00235F99"/>
    <w:rsid w:val="002363CD"/>
    <w:rsid w:val="00236A00"/>
    <w:rsid w:val="0023724C"/>
    <w:rsid w:val="00237336"/>
    <w:rsid w:val="0023788A"/>
    <w:rsid w:val="0024004B"/>
    <w:rsid w:val="0024043A"/>
    <w:rsid w:val="00241850"/>
    <w:rsid w:val="00242FAB"/>
    <w:rsid w:val="002430F0"/>
    <w:rsid w:val="00243AE4"/>
    <w:rsid w:val="00243CC4"/>
    <w:rsid w:val="002442F1"/>
    <w:rsid w:val="00246C87"/>
    <w:rsid w:val="00246CB7"/>
    <w:rsid w:val="00247017"/>
    <w:rsid w:val="0024742B"/>
    <w:rsid w:val="00247AB9"/>
    <w:rsid w:val="00247DAA"/>
    <w:rsid w:val="00247E56"/>
    <w:rsid w:val="00247E9B"/>
    <w:rsid w:val="0025124C"/>
    <w:rsid w:val="00251759"/>
    <w:rsid w:val="002517BC"/>
    <w:rsid w:val="0025196D"/>
    <w:rsid w:val="00252453"/>
    <w:rsid w:val="002528AF"/>
    <w:rsid w:val="00252E84"/>
    <w:rsid w:val="00253166"/>
    <w:rsid w:val="0025438A"/>
    <w:rsid w:val="00254949"/>
    <w:rsid w:val="00254BA1"/>
    <w:rsid w:val="00254CBC"/>
    <w:rsid w:val="00254D06"/>
    <w:rsid w:val="002557E7"/>
    <w:rsid w:val="00255845"/>
    <w:rsid w:val="00255C87"/>
    <w:rsid w:val="00255CD1"/>
    <w:rsid w:val="00256CC4"/>
    <w:rsid w:val="002575A0"/>
    <w:rsid w:val="00257631"/>
    <w:rsid w:val="0026065A"/>
    <w:rsid w:val="002609C2"/>
    <w:rsid w:val="00261181"/>
    <w:rsid w:val="00261219"/>
    <w:rsid w:val="00261596"/>
    <w:rsid w:val="00262683"/>
    <w:rsid w:val="002627A4"/>
    <w:rsid w:val="002628F2"/>
    <w:rsid w:val="00262B76"/>
    <w:rsid w:val="00262D3B"/>
    <w:rsid w:val="0026318A"/>
    <w:rsid w:val="0026320D"/>
    <w:rsid w:val="00263232"/>
    <w:rsid w:val="00265738"/>
    <w:rsid w:val="00265B94"/>
    <w:rsid w:val="00266318"/>
    <w:rsid w:val="002663E1"/>
    <w:rsid w:val="00266543"/>
    <w:rsid w:val="00267506"/>
    <w:rsid w:val="0027042A"/>
    <w:rsid w:val="00270C6E"/>
    <w:rsid w:val="00270FB9"/>
    <w:rsid w:val="002714DE"/>
    <w:rsid w:val="00271A07"/>
    <w:rsid w:val="00272C0F"/>
    <w:rsid w:val="0027301B"/>
    <w:rsid w:val="00273469"/>
    <w:rsid w:val="0027378A"/>
    <w:rsid w:val="0027382D"/>
    <w:rsid w:val="00273B74"/>
    <w:rsid w:val="00273EA1"/>
    <w:rsid w:val="00274FB7"/>
    <w:rsid w:val="00275A57"/>
    <w:rsid w:val="00275F0B"/>
    <w:rsid w:val="00276AA2"/>
    <w:rsid w:val="00276FC9"/>
    <w:rsid w:val="0027781B"/>
    <w:rsid w:val="00281781"/>
    <w:rsid w:val="002817EC"/>
    <w:rsid w:val="00281842"/>
    <w:rsid w:val="00281AF1"/>
    <w:rsid w:val="00281B02"/>
    <w:rsid w:val="00281B95"/>
    <w:rsid w:val="00281E03"/>
    <w:rsid w:val="00282A40"/>
    <w:rsid w:val="00282C40"/>
    <w:rsid w:val="00283E00"/>
    <w:rsid w:val="00284142"/>
    <w:rsid w:val="0028466B"/>
    <w:rsid w:val="00286316"/>
    <w:rsid w:val="002871E5"/>
    <w:rsid w:val="00287408"/>
    <w:rsid w:val="00287820"/>
    <w:rsid w:val="00287B6C"/>
    <w:rsid w:val="0029053B"/>
    <w:rsid w:val="00290707"/>
    <w:rsid w:val="002907F4"/>
    <w:rsid w:val="00290A6C"/>
    <w:rsid w:val="002912AE"/>
    <w:rsid w:val="002913D6"/>
    <w:rsid w:val="00291E5F"/>
    <w:rsid w:val="00292EFF"/>
    <w:rsid w:val="00297256"/>
    <w:rsid w:val="0029788B"/>
    <w:rsid w:val="002979AC"/>
    <w:rsid w:val="00297B35"/>
    <w:rsid w:val="002A06A6"/>
    <w:rsid w:val="002A13A3"/>
    <w:rsid w:val="002A15C3"/>
    <w:rsid w:val="002A186D"/>
    <w:rsid w:val="002A2135"/>
    <w:rsid w:val="002A2916"/>
    <w:rsid w:val="002A2C00"/>
    <w:rsid w:val="002A3BE9"/>
    <w:rsid w:val="002A41BF"/>
    <w:rsid w:val="002A4226"/>
    <w:rsid w:val="002A47CB"/>
    <w:rsid w:val="002A4995"/>
    <w:rsid w:val="002A50D9"/>
    <w:rsid w:val="002A5FD8"/>
    <w:rsid w:val="002A6E12"/>
    <w:rsid w:val="002B03DD"/>
    <w:rsid w:val="002B05C2"/>
    <w:rsid w:val="002B1052"/>
    <w:rsid w:val="002B149D"/>
    <w:rsid w:val="002B158C"/>
    <w:rsid w:val="002B1D5B"/>
    <w:rsid w:val="002B2087"/>
    <w:rsid w:val="002B2211"/>
    <w:rsid w:val="002B2C83"/>
    <w:rsid w:val="002B47BD"/>
    <w:rsid w:val="002B51F3"/>
    <w:rsid w:val="002B5CC6"/>
    <w:rsid w:val="002B5D83"/>
    <w:rsid w:val="002B6244"/>
    <w:rsid w:val="002B62BF"/>
    <w:rsid w:val="002B643B"/>
    <w:rsid w:val="002B6567"/>
    <w:rsid w:val="002B6727"/>
    <w:rsid w:val="002B6BB2"/>
    <w:rsid w:val="002B71BA"/>
    <w:rsid w:val="002C03BE"/>
    <w:rsid w:val="002C13FA"/>
    <w:rsid w:val="002C1BB2"/>
    <w:rsid w:val="002C2074"/>
    <w:rsid w:val="002C2157"/>
    <w:rsid w:val="002C21D2"/>
    <w:rsid w:val="002C22CF"/>
    <w:rsid w:val="002C2AA3"/>
    <w:rsid w:val="002C38DE"/>
    <w:rsid w:val="002C3D23"/>
    <w:rsid w:val="002C3F37"/>
    <w:rsid w:val="002C4143"/>
    <w:rsid w:val="002C4154"/>
    <w:rsid w:val="002C4344"/>
    <w:rsid w:val="002C46BF"/>
    <w:rsid w:val="002C4C6C"/>
    <w:rsid w:val="002C504E"/>
    <w:rsid w:val="002C5A87"/>
    <w:rsid w:val="002C68E7"/>
    <w:rsid w:val="002C6937"/>
    <w:rsid w:val="002D0936"/>
    <w:rsid w:val="002D0C49"/>
    <w:rsid w:val="002D0F97"/>
    <w:rsid w:val="002D2346"/>
    <w:rsid w:val="002D3D57"/>
    <w:rsid w:val="002D4275"/>
    <w:rsid w:val="002D43B5"/>
    <w:rsid w:val="002D5753"/>
    <w:rsid w:val="002D6005"/>
    <w:rsid w:val="002D605F"/>
    <w:rsid w:val="002D606F"/>
    <w:rsid w:val="002D61F6"/>
    <w:rsid w:val="002D627E"/>
    <w:rsid w:val="002D66EB"/>
    <w:rsid w:val="002D6719"/>
    <w:rsid w:val="002D6CE6"/>
    <w:rsid w:val="002D7E08"/>
    <w:rsid w:val="002E0291"/>
    <w:rsid w:val="002E0AD3"/>
    <w:rsid w:val="002E0D42"/>
    <w:rsid w:val="002E10C5"/>
    <w:rsid w:val="002E1435"/>
    <w:rsid w:val="002E26B8"/>
    <w:rsid w:val="002E2D31"/>
    <w:rsid w:val="002E356E"/>
    <w:rsid w:val="002E4599"/>
    <w:rsid w:val="002E4722"/>
    <w:rsid w:val="002E56CE"/>
    <w:rsid w:val="002E583E"/>
    <w:rsid w:val="002E5A27"/>
    <w:rsid w:val="002E6381"/>
    <w:rsid w:val="002E714A"/>
    <w:rsid w:val="002F1133"/>
    <w:rsid w:val="002F1736"/>
    <w:rsid w:val="002F228F"/>
    <w:rsid w:val="002F25BF"/>
    <w:rsid w:val="002F355C"/>
    <w:rsid w:val="002F3E02"/>
    <w:rsid w:val="002F42C9"/>
    <w:rsid w:val="002F5200"/>
    <w:rsid w:val="002F533A"/>
    <w:rsid w:val="002F5557"/>
    <w:rsid w:val="002F578B"/>
    <w:rsid w:val="002F61A9"/>
    <w:rsid w:val="002F6314"/>
    <w:rsid w:val="002F66D1"/>
    <w:rsid w:val="002F712D"/>
    <w:rsid w:val="002F76FC"/>
    <w:rsid w:val="002F773D"/>
    <w:rsid w:val="0030018E"/>
    <w:rsid w:val="00300298"/>
    <w:rsid w:val="003008F3"/>
    <w:rsid w:val="00300CB9"/>
    <w:rsid w:val="003016F4"/>
    <w:rsid w:val="0030190D"/>
    <w:rsid w:val="00301D91"/>
    <w:rsid w:val="00302258"/>
    <w:rsid w:val="00302BDA"/>
    <w:rsid w:val="003035F9"/>
    <w:rsid w:val="00303CEF"/>
    <w:rsid w:val="00304982"/>
    <w:rsid w:val="00304B27"/>
    <w:rsid w:val="00305193"/>
    <w:rsid w:val="00305A5F"/>
    <w:rsid w:val="003075C8"/>
    <w:rsid w:val="00307FDC"/>
    <w:rsid w:val="003114A7"/>
    <w:rsid w:val="00311698"/>
    <w:rsid w:val="003116AE"/>
    <w:rsid w:val="0031275E"/>
    <w:rsid w:val="0031280D"/>
    <w:rsid w:val="00312AA8"/>
    <w:rsid w:val="0031347A"/>
    <w:rsid w:val="00313F08"/>
    <w:rsid w:val="00315CE0"/>
    <w:rsid w:val="00316070"/>
    <w:rsid w:val="0031658A"/>
    <w:rsid w:val="00316CFF"/>
    <w:rsid w:val="003172EF"/>
    <w:rsid w:val="003173F4"/>
    <w:rsid w:val="00317C5F"/>
    <w:rsid w:val="00320373"/>
    <w:rsid w:val="0032069B"/>
    <w:rsid w:val="00321080"/>
    <w:rsid w:val="0032127A"/>
    <w:rsid w:val="0032134B"/>
    <w:rsid w:val="00322D33"/>
    <w:rsid w:val="00323248"/>
    <w:rsid w:val="00323798"/>
    <w:rsid w:val="00323D11"/>
    <w:rsid w:val="003243D2"/>
    <w:rsid w:val="00324671"/>
    <w:rsid w:val="00324CE5"/>
    <w:rsid w:val="003256B1"/>
    <w:rsid w:val="00325F22"/>
    <w:rsid w:val="00326169"/>
    <w:rsid w:val="00326299"/>
    <w:rsid w:val="003274B4"/>
    <w:rsid w:val="0032755D"/>
    <w:rsid w:val="003279CB"/>
    <w:rsid w:val="00327A6B"/>
    <w:rsid w:val="00330E47"/>
    <w:rsid w:val="00330F0A"/>
    <w:rsid w:val="003312C2"/>
    <w:rsid w:val="00331D85"/>
    <w:rsid w:val="00332B3A"/>
    <w:rsid w:val="00333131"/>
    <w:rsid w:val="00333330"/>
    <w:rsid w:val="0033334C"/>
    <w:rsid w:val="00333803"/>
    <w:rsid w:val="00333D4F"/>
    <w:rsid w:val="00333EAF"/>
    <w:rsid w:val="003346C7"/>
    <w:rsid w:val="003347BB"/>
    <w:rsid w:val="00334DA3"/>
    <w:rsid w:val="00335094"/>
    <w:rsid w:val="0033520C"/>
    <w:rsid w:val="003359D4"/>
    <w:rsid w:val="00335B1C"/>
    <w:rsid w:val="00335CB4"/>
    <w:rsid w:val="0033611F"/>
    <w:rsid w:val="00336249"/>
    <w:rsid w:val="00336EE3"/>
    <w:rsid w:val="00337216"/>
    <w:rsid w:val="00337539"/>
    <w:rsid w:val="003375F9"/>
    <w:rsid w:val="00337B5D"/>
    <w:rsid w:val="0034060A"/>
    <w:rsid w:val="003409F2"/>
    <w:rsid w:val="003416F4"/>
    <w:rsid w:val="00341831"/>
    <w:rsid w:val="00341CE1"/>
    <w:rsid w:val="00341EE1"/>
    <w:rsid w:val="00341EE6"/>
    <w:rsid w:val="003426C6"/>
    <w:rsid w:val="0034307F"/>
    <w:rsid w:val="00344136"/>
    <w:rsid w:val="003442BE"/>
    <w:rsid w:val="003445AF"/>
    <w:rsid w:val="003447F9"/>
    <w:rsid w:val="003453D2"/>
    <w:rsid w:val="00345CDC"/>
    <w:rsid w:val="00345D26"/>
    <w:rsid w:val="00346D01"/>
    <w:rsid w:val="0034790C"/>
    <w:rsid w:val="00350289"/>
    <w:rsid w:val="003505D3"/>
    <w:rsid w:val="00350E65"/>
    <w:rsid w:val="00352243"/>
    <w:rsid w:val="00353E41"/>
    <w:rsid w:val="00354404"/>
    <w:rsid w:val="003558CB"/>
    <w:rsid w:val="00355FAD"/>
    <w:rsid w:val="003563BF"/>
    <w:rsid w:val="00356F36"/>
    <w:rsid w:val="0035723F"/>
    <w:rsid w:val="00357A41"/>
    <w:rsid w:val="00357EE5"/>
    <w:rsid w:val="00360DD8"/>
    <w:rsid w:val="0036157F"/>
    <w:rsid w:val="00361765"/>
    <w:rsid w:val="0036192F"/>
    <w:rsid w:val="0036329C"/>
    <w:rsid w:val="00363357"/>
    <w:rsid w:val="00363499"/>
    <w:rsid w:val="00363BE8"/>
    <w:rsid w:val="00364655"/>
    <w:rsid w:val="00364D0E"/>
    <w:rsid w:val="00364DEC"/>
    <w:rsid w:val="003651B2"/>
    <w:rsid w:val="0036527F"/>
    <w:rsid w:val="00365553"/>
    <w:rsid w:val="0036585B"/>
    <w:rsid w:val="00367252"/>
    <w:rsid w:val="00367535"/>
    <w:rsid w:val="00367595"/>
    <w:rsid w:val="003677C2"/>
    <w:rsid w:val="00367C49"/>
    <w:rsid w:val="0037024E"/>
    <w:rsid w:val="003706FE"/>
    <w:rsid w:val="00370797"/>
    <w:rsid w:val="00370B2F"/>
    <w:rsid w:val="0037162B"/>
    <w:rsid w:val="00372009"/>
    <w:rsid w:val="003721D3"/>
    <w:rsid w:val="00372A90"/>
    <w:rsid w:val="003731C4"/>
    <w:rsid w:val="003733C6"/>
    <w:rsid w:val="00373BBA"/>
    <w:rsid w:val="00374131"/>
    <w:rsid w:val="00374657"/>
    <w:rsid w:val="00374827"/>
    <w:rsid w:val="003748E5"/>
    <w:rsid w:val="003751C5"/>
    <w:rsid w:val="0037543D"/>
    <w:rsid w:val="00375D54"/>
    <w:rsid w:val="00376B13"/>
    <w:rsid w:val="00376D5E"/>
    <w:rsid w:val="003773A1"/>
    <w:rsid w:val="003775FC"/>
    <w:rsid w:val="003776B2"/>
    <w:rsid w:val="003779FF"/>
    <w:rsid w:val="00377B52"/>
    <w:rsid w:val="00377D56"/>
    <w:rsid w:val="00380035"/>
    <w:rsid w:val="003804D8"/>
    <w:rsid w:val="003807B9"/>
    <w:rsid w:val="00380CAC"/>
    <w:rsid w:val="00381887"/>
    <w:rsid w:val="00381B9A"/>
    <w:rsid w:val="0038214B"/>
    <w:rsid w:val="00382192"/>
    <w:rsid w:val="00382658"/>
    <w:rsid w:val="003827C7"/>
    <w:rsid w:val="00383132"/>
    <w:rsid w:val="00383A80"/>
    <w:rsid w:val="00384DFB"/>
    <w:rsid w:val="003850EB"/>
    <w:rsid w:val="00385D05"/>
    <w:rsid w:val="00385DF1"/>
    <w:rsid w:val="00386464"/>
    <w:rsid w:val="00386A77"/>
    <w:rsid w:val="00386B56"/>
    <w:rsid w:val="00386D17"/>
    <w:rsid w:val="00386DEF"/>
    <w:rsid w:val="00387003"/>
    <w:rsid w:val="00387B23"/>
    <w:rsid w:val="003906C3"/>
    <w:rsid w:val="00390B46"/>
    <w:rsid w:val="00390D66"/>
    <w:rsid w:val="003915C4"/>
    <w:rsid w:val="00391E24"/>
    <w:rsid w:val="00391EB3"/>
    <w:rsid w:val="0039225D"/>
    <w:rsid w:val="0039236F"/>
    <w:rsid w:val="003923B0"/>
    <w:rsid w:val="0039241D"/>
    <w:rsid w:val="0039268E"/>
    <w:rsid w:val="00392D7A"/>
    <w:rsid w:val="00392FAE"/>
    <w:rsid w:val="00393D21"/>
    <w:rsid w:val="00394C6D"/>
    <w:rsid w:val="00395B63"/>
    <w:rsid w:val="0039628A"/>
    <w:rsid w:val="00396309"/>
    <w:rsid w:val="003A1396"/>
    <w:rsid w:val="003A1758"/>
    <w:rsid w:val="003A1A13"/>
    <w:rsid w:val="003A1CA3"/>
    <w:rsid w:val="003A257C"/>
    <w:rsid w:val="003A2A2D"/>
    <w:rsid w:val="003A2C96"/>
    <w:rsid w:val="003A3809"/>
    <w:rsid w:val="003A4FC6"/>
    <w:rsid w:val="003A567E"/>
    <w:rsid w:val="003A5DDB"/>
    <w:rsid w:val="003A5F29"/>
    <w:rsid w:val="003A62A6"/>
    <w:rsid w:val="003A682B"/>
    <w:rsid w:val="003A6977"/>
    <w:rsid w:val="003A6EB3"/>
    <w:rsid w:val="003A7663"/>
    <w:rsid w:val="003A77BA"/>
    <w:rsid w:val="003A7A06"/>
    <w:rsid w:val="003A7B86"/>
    <w:rsid w:val="003B009D"/>
    <w:rsid w:val="003B0AB1"/>
    <w:rsid w:val="003B0EFE"/>
    <w:rsid w:val="003B1E0E"/>
    <w:rsid w:val="003B2ACA"/>
    <w:rsid w:val="003B2DE0"/>
    <w:rsid w:val="003B3F0A"/>
    <w:rsid w:val="003B3FB1"/>
    <w:rsid w:val="003B4ACE"/>
    <w:rsid w:val="003B4BA0"/>
    <w:rsid w:val="003B5259"/>
    <w:rsid w:val="003B536F"/>
    <w:rsid w:val="003B5E1F"/>
    <w:rsid w:val="003B6B86"/>
    <w:rsid w:val="003B6F42"/>
    <w:rsid w:val="003B7586"/>
    <w:rsid w:val="003C01A6"/>
    <w:rsid w:val="003C0FD0"/>
    <w:rsid w:val="003C16E9"/>
    <w:rsid w:val="003C1F8B"/>
    <w:rsid w:val="003C2440"/>
    <w:rsid w:val="003C2AAE"/>
    <w:rsid w:val="003C2D81"/>
    <w:rsid w:val="003C3698"/>
    <w:rsid w:val="003C37D7"/>
    <w:rsid w:val="003C3877"/>
    <w:rsid w:val="003C3D37"/>
    <w:rsid w:val="003C4199"/>
    <w:rsid w:val="003C44A1"/>
    <w:rsid w:val="003C4BB2"/>
    <w:rsid w:val="003C674F"/>
    <w:rsid w:val="003C6965"/>
    <w:rsid w:val="003C6E06"/>
    <w:rsid w:val="003D08D2"/>
    <w:rsid w:val="003D1E21"/>
    <w:rsid w:val="003D2702"/>
    <w:rsid w:val="003D2BFD"/>
    <w:rsid w:val="003D30DC"/>
    <w:rsid w:val="003D41CF"/>
    <w:rsid w:val="003D5199"/>
    <w:rsid w:val="003D54E0"/>
    <w:rsid w:val="003D56BC"/>
    <w:rsid w:val="003D5756"/>
    <w:rsid w:val="003D6215"/>
    <w:rsid w:val="003D6599"/>
    <w:rsid w:val="003D6C0B"/>
    <w:rsid w:val="003D716E"/>
    <w:rsid w:val="003D71B3"/>
    <w:rsid w:val="003D73DB"/>
    <w:rsid w:val="003D76B5"/>
    <w:rsid w:val="003D795B"/>
    <w:rsid w:val="003D7F37"/>
    <w:rsid w:val="003E054E"/>
    <w:rsid w:val="003E06A9"/>
    <w:rsid w:val="003E0873"/>
    <w:rsid w:val="003E1409"/>
    <w:rsid w:val="003E1710"/>
    <w:rsid w:val="003E21D2"/>
    <w:rsid w:val="003E25F3"/>
    <w:rsid w:val="003E339F"/>
    <w:rsid w:val="003E3853"/>
    <w:rsid w:val="003E43DD"/>
    <w:rsid w:val="003E4577"/>
    <w:rsid w:val="003E4DDE"/>
    <w:rsid w:val="003E5746"/>
    <w:rsid w:val="003E5EA8"/>
    <w:rsid w:val="003E5FC9"/>
    <w:rsid w:val="003E64BD"/>
    <w:rsid w:val="003E65E7"/>
    <w:rsid w:val="003E6690"/>
    <w:rsid w:val="003E66E5"/>
    <w:rsid w:val="003E681F"/>
    <w:rsid w:val="003E6F5E"/>
    <w:rsid w:val="003E7111"/>
    <w:rsid w:val="003E7A54"/>
    <w:rsid w:val="003E7B25"/>
    <w:rsid w:val="003F03A4"/>
    <w:rsid w:val="003F0541"/>
    <w:rsid w:val="003F08C5"/>
    <w:rsid w:val="003F0CDA"/>
    <w:rsid w:val="003F1774"/>
    <w:rsid w:val="003F1784"/>
    <w:rsid w:val="003F1A79"/>
    <w:rsid w:val="003F253B"/>
    <w:rsid w:val="003F28EE"/>
    <w:rsid w:val="003F35B9"/>
    <w:rsid w:val="003F3CA6"/>
    <w:rsid w:val="003F3D59"/>
    <w:rsid w:val="003F4243"/>
    <w:rsid w:val="003F4330"/>
    <w:rsid w:val="003F44FE"/>
    <w:rsid w:val="003F530B"/>
    <w:rsid w:val="003F5C80"/>
    <w:rsid w:val="003F5D60"/>
    <w:rsid w:val="003F5FED"/>
    <w:rsid w:val="003F61AC"/>
    <w:rsid w:val="003F66C8"/>
    <w:rsid w:val="003F68CF"/>
    <w:rsid w:val="003F6D4E"/>
    <w:rsid w:val="003F6DE7"/>
    <w:rsid w:val="003F73AF"/>
    <w:rsid w:val="003F78CA"/>
    <w:rsid w:val="00400EB7"/>
    <w:rsid w:val="00401258"/>
    <w:rsid w:val="00401C4D"/>
    <w:rsid w:val="00401D51"/>
    <w:rsid w:val="00401E21"/>
    <w:rsid w:val="004025C2"/>
    <w:rsid w:val="004026DE"/>
    <w:rsid w:val="00403645"/>
    <w:rsid w:val="00403650"/>
    <w:rsid w:val="00404428"/>
    <w:rsid w:val="004046F8"/>
    <w:rsid w:val="0040576F"/>
    <w:rsid w:val="0040578A"/>
    <w:rsid w:val="00405939"/>
    <w:rsid w:val="00407072"/>
    <w:rsid w:val="004071C0"/>
    <w:rsid w:val="00407874"/>
    <w:rsid w:val="0040797B"/>
    <w:rsid w:val="00407B07"/>
    <w:rsid w:val="004108E5"/>
    <w:rsid w:val="00411556"/>
    <w:rsid w:val="00411700"/>
    <w:rsid w:val="00411A0F"/>
    <w:rsid w:val="00411C57"/>
    <w:rsid w:val="00411CE0"/>
    <w:rsid w:val="0041319D"/>
    <w:rsid w:val="004146E2"/>
    <w:rsid w:val="00414F1F"/>
    <w:rsid w:val="00415BEA"/>
    <w:rsid w:val="00417CD7"/>
    <w:rsid w:val="00417EB7"/>
    <w:rsid w:val="00420A2E"/>
    <w:rsid w:val="00421232"/>
    <w:rsid w:val="0042158B"/>
    <w:rsid w:val="00421D5E"/>
    <w:rsid w:val="00422208"/>
    <w:rsid w:val="004224EE"/>
    <w:rsid w:val="00422907"/>
    <w:rsid w:val="00422DBF"/>
    <w:rsid w:val="004231CC"/>
    <w:rsid w:val="004234EF"/>
    <w:rsid w:val="00424E22"/>
    <w:rsid w:val="0042513A"/>
    <w:rsid w:val="004255D5"/>
    <w:rsid w:val="00425D28"/>
    <w:rsid w:val="00427034"/>
    <w:rsid w:val="00427553"/>
    <w:rsid w:val="004277BB"/>
    <w:rsid w:val="004278E3"/>
    <w:rsid w:val="00427F50"/>
    <w:rsid w:val="0043035C"/>
    <w:rsid w:val="004303D5"/>
    <w:rsid w:val="00430C0F"/>
    <w:rsid w:val="00431439"/>
    <w:rsid w:val="004317C8"/>
    <w:rsid w:val="00431EB5"/>
    <w:rsid w:val="004321C3"/>
    <w:rsid w:val="004325E4"/>
    <w:rsid w:val="00432E69"/>
    <w:rsid w:val="00433F10"/>
    <w:rsid w:val="00434CC1"/>
    <w:rsid w:val="00434E65"/>
    <w:rsid w:val="00434FC5"/>
    <w:rsid w:val="004356E4"/>
    <w:rsid w:val="00435D7A"/>
    <w:rsid w:val="00436011"/>
    <w:rsid w:val="004367E1"/>
    <w:rsid w:val="0043797E"/>
    <w:rsid w:val="00437A95"/>
    <w:rsid w:val="00437D15"/>
    <w:rsid w:val="00437FB9"/>
    <w:rsid w:val="004400EC"/>
    <w:rsid w:val="00440A45"/>
    <w:rsid w:val="00440D89"/>
    <w:rsid w:val="00440ED6"/>
    <w:rsid w:val="0044107D"/>
    <w:rsid w:val="0044162C"/>
    <w:rsid w:val="00441826"/>
    <w:rsid w:val="00441849"/>
    <w:rsid w:val="0044195F"/>
    <w:rsid w:val="00441982"/>
    <w:rsid w:val="00442221"/>
    <w:rsid w:val="0044289D"/>
    <w:rsid w:val="00442FD8"/>
    <w:rsid w:val="004436BD"/>
    <w:rsid w:val="00443A0B"/>
    <w:rsid w:val="00443A0F"/>
    <w:rsid w:val="00443FA9"/>
    <w:rsid w:val="0044490C"/>
    <w:rsid w:val="00444A01"/>
    <w:rsid w:val="004454E9"/>
    <w:rsid w:val="00446D17"/>
    <w:rsid w:val="0044756A"/>
    <w:rsid w:val="00447F8F"/>
    <w:rsid w:val="004500A3"/>
    <w:rsid w:val="00450DD8"/>
    <w:rsid w:val="0045137E"/>
    <w:rsid w:val="0045179B"/>
    <w:rsid w:val="00451B60"/>
    <w:rsid w:val="00451D27"/>
    <w:rsid w:val="004520F7"/>
    <w:rsid w:val="004522AE"/>
    <w:rsid w:val="00452668"/>
    <w:rsid w:val="0045281E"/>
    <w:rsid w:val="004529AA"/>
    <w:rsid w:val="004529E9"/>
    <w:rsid w:val="00452FD0"/>
    <w:rsid w:val="00453C75"/>
    <w:rsid w:val="00453F28"/>
    <w:rsid w:val="00454D37"/>
    <w:rsid w:val="00454D86"/>
    <w:rsid w:val="00455877"/>
    <w:rsid w:val="0045588D"/>
    <w:rsid w:val="004559C7"/>
    <w:rsid w:val="004569E3"/>
    <w:rsid w:val="00456C53"/>
    <w:rsid w:val="00457704"/>
    <w:rsid w:val="00457C0E"/>
    <w:rsid w:val="004608C0"/>
    <w:rsid w:val="00460AC4"/>
    <w:rsid w:val="00461A07"/>
    <w:rsid w:val="004627C9"/>
    <w:rsid w:val="00462CCF"/>
    <w:rsid w:val="00463A68"/>
    <w:rsid w:val="00464752"/>
    <w:rsid w:val="00465A23"/>
    <w:rsid w:val="00466A38"/>
    <w:rsid w:val="00466C07"/>
    <w:rsid w:val="00466DAB"/>
    <w:rsid w:val="00467054"/>
    <w:rsid w:val="00467551"/>
    <w:rsid w:val="00467690"/>
    <w:rsid w:val="00467A98"/>
    <w:rsid w:val="00470BF3"/>
    <w:rsid w:val="004713F1"/>
    <w:rsid w:val="0047160E"/>
    <w:rsid w:val="0047212E"/>
    <w:rsid w:val="00473274"/>
    <w:rsid w:val="004736A2"/>
    <w:rsid w:val="00473A59"/>
    <w:rsid w:val="00473D8E"/>
    <w:rsid w:val="00474157"/>
    <w:rsid w:val="00474EB2"/>
    <w:rsid w:val="00475889"/>
    <w:rsid w:val="004758E9"/>
    <w:rsid w:val="00475DEC"/>
    <w:rsid w:val="00476AD7"/>
    <w:rsid w:val="0047720B"/>
    <w:rsid w:val="00477C2C"/>
    <w:rsid w:val="00477C56"/>
    <w:rsid w:val="00477D0D"/>
    <w:rsid w:val="00480472"/>
    <w:rsid w:val="00480A45"/>
    <w:rsid w:val="00480A83"/>
    <w:rsid w:val="004816F4"/>
    <w:rsid w:val="00482372"/>
    <w:rsid w:val="00482738"/>
    <w:rsid w:val="00482B52"/>
    <w:rsid w:val="00482F81"/>
    <w:rsid w:val="0048398A"/>
    <w:rsid w:val="004846D4"/>
    <w:rsid w:val="004857FB"/>
    <w:rsid w:val="00485EEB"/>
    <w:rsid w:val="00486571"/>
    <w:rsid w:val="004865CC"/>
    <w:rsid w:val="004871FB"/>
    <w:rsid w:val="004908EC"/>
    <w:rsid w:val="004913CA"/>
    <w:rsid w:val="00491C5C"/>
    <w:rsid w:val="00492608"/>
    <w:rsid w:val="004930E5"/>
    <w:rsid w:val="004931AB"/>
    <w:rsid w:val="00493892"/>
    <w:rsid w:val="00494641"/>
    <w:rsid w:val="00494B70"/>
    <w:rsid w:val="00496275"/>
    <w:rsid w:val="00496634"/>
    <w:rsid w:val="00496ABF"/>
    <w:rsid w:val="0049793F"/>
    <w:rsid w:val="00497FC8"/>
    <w:rsid w:val="004A10FF"/>
    <w:rsid w:val="004A1472"/>
    <w:rsid w:val="004A16A3"/>
    <w:rsid w:val="004A1853"/>
    <w:rsid w:val="004A1F15"/>
    <w:rsid w:val="004A2024"/>
    <w:rsid w:val="004A23CC"/>
    <w:rsid w:val="004A298C"/>
    <w:rsid w:val="004A3277"/>
    <w:rsid w:val="004A3768"/>
    <w:rsid w:val="004A3AF8"/>
    <w:rsid w:val="004A4337"/>
    <w:rsid w:val="004A450E"/>
    <w:rsid w:val="004A5015"/>
    <w:rsid w:val="004A5286"/>
    <w:rsid w:val="004A5A37"/>
    <w:rsid w:val="004A5FB7"/>
    <w:rsid w:val="004A745D"/>
    <w:rsid w:val="004A7744"/>
    <w:rsid w:val="004A7782"/>
    <w:rsid w:val="004B07AE"/>
    <w:rsid w:val="004B0F39"/>
    <w:rsid w:val="004B22BA"/>
    <w:rsid w:val="004B24DD"/>
    <w:rsid w:val="004B2AE7"/>
    <w:rsid w:val="004B2F2F"/>
    <w:rsid w:val="004B327B"/>
    <w:rsid w:val="004B37AF"/>
    <w:rsid w:val="004B3A77"/>
    <w:rsid w:val="004B3EB7"/>
    <w:rsid w:val="004B40F6"/>
    <w:rsid w:val="004B411F"/>
    <w:rsid w:val="004B441B"/>
    <w:rsid w:val="004B4CFF"/>
    <w:rsid w:val="004B5172"/>
    <w:rsid w:val="004B53CE"/>
    <w:rsid w:val="004B5918"/>
    <w:rsid w:val="004B60C4"/>
    <w:rsid w:val="004B6355"/>
    <w:rsid w:val="004B7127"/>
    <w:rsid w:val="004B732D"/>
    <w:rsid w:val="004B7344"/>
    <w:rsid w:val="004B7B65"/>
    <w:rsid w:val="004C01A4"/>
    <w:rsid w:val="004C02E1"/>
    <w:rsid w:val="004C0D36"/>
    <w:rsid w:val="004C1A5C"/>
    <w:rsid w:val="004C27DE"/>
    <w:rsid w:val="004C2EFD"/>
    <w:rsid w:val="004C34BE"/>
    <w:rsid w:val="004C3941"/>
    <w:rsid w:val="004C3EB0"/>
    <w:rsid w:val="004C4ABE"/>
    <w:rsid w:val="004C5E67"/>
    <w:rsid w:val="004C6098"/>
    <w:rsid w:val="004C61FF"/>
    <w:rsid w:val="004C65B8"/>
    <w:rsid w:val="004C70DA"/>
    <w:rsid w:val="004C73A2"/>
    <w:rsid w:val="004C7DDE"/>
    <w:rsid w:val="004D03EA"/>
    <w:rsid w:val="004D1744"/>
    <w:rsid w:val="004D2803"/>
    <w:rsid w:val="004D3300"/>
    <w:rsid w:val="004D414C"/>
    <w:rsid w:val="004D4160"/>
    <w:rsid w:val="004D4706"/>
    <w:rsid w:val="004D5332"/>
    <w:rsid w:val="004D5ABF"/>
    <w:rsid w:val="004D63D6"/>
    <w:rsid w:val="004D6A5C"/>
    <w:rsid w:val="004D6EB4"/>
    <w:rsid w:val="004D776F"/>
    <w:rsid w:val="004E0BA3"/>
    <w:rsid w:val="004E0E1A"/>
    <w:rsid w:val="004E0F86"/>
    <w:rsid w:val="004E20D2"/>
    <w:rsid w:val="004E258F"/>
    <w:rsid w:val="004E29A3"/>
    <w:rsid w:val="004E2ACC"/>
    <w:rsid w:val="004E3037"/>
    <w:rsid w:val="004E30F8"/>
    <w:rsid w:val="004E3CF9"/>
    <w:rsid w:val="004E4FF0"/>
    <w:rsid w:val="004E5723"/>
    <w:rsid w:val="004E5739"/>
    <w:rsid w:val="004E5A10"/>
    <w:rsid w:val="004E5D77"/>
    <w:rsid w:val="004E65C4"/>
    <w:rsid w:val="004F09E8"/>
    <w:rsid w:val="004F0D02"/>
    <w:rsid w:val="004F1283"/>
    <w:rsid w:val="004F1A18"/>
    <w:rsid w:val="004F330C"/>
    <w:rsid w:val="004F33C0"/>
    <w:rsid w:val="004F3DFE"/>
    <w:rsid w:val="004F4633"/>
    <w:rsid w:val="004F47C0"/>
    <w:rsid w:val="004F4999"/>
    <w:rsid w:val="004F499C"/>
    <w:rsid w:val="004F49BA"/>
    <w:rsid w:val="004F4A4C"/>
    <w:rsid w:val="004F4D5B"/>
    <w:rsid w:val="004F567A"/>
    <w:rsid w:val="004F5BC4"/>
    <w:rsid w:val="004F5FEA"/>
    <w:rsid w:val="004F61C6"/>
    <w:rsid w:val="004F677B"/>
    <w:rsid w:val="004F6840"/>
    <w:rsid w:val="004F6A7A"/>
    <w:rsid w:val="004F73F8"/>
    <w:rsid w:val="004F7A88"/>
    <w:rsid w:val="004F7CF8"/>
    <w:rsid w:val="00500623"/>
    <w:rsid w:val="00500675"/>
    <w:rsid w:val="005018A5"/>
    <w:rsid w:val="00501AB0"/>
    <w:rsid w:val="00501AF2"/>
    <w:rsid w:val="00502DE9"/>
    <w:rsid w:val="00503D05"/>
    <w:rsid w:val="00504187"/>
    <w:rsid w:val="00504450"/>
    <w:rsid w:val="0050455A"/>
    <w:rsid w:val="005046CA"/>
    <w:rsid w:val="005057FE"/>
    <w:rsid w:val="00505AB0"/>
    <w:rsid w:val="00506012"/>
    <w:rsid w:val="00506203"/>
    <w:rsid w:val="00507A35"/>
    <w:rsid w:val="00507F26"/>
    <w:rsid w:val="00510245"/>
    <w:rsid w:val="005103F5"/>
    <w:rsid w:val="00510DF9"/>
    <w:rsid w:val="00511CB1"/>
    <w:rsid w:val="00511D6E"/>
    <w:rsid w:val="005122B2"/>
    <w:rsid w:val="005123AC"/>
    <w:rsid w:val="00512A48"/>
    <w:rsid w:val="00512BFC"/>
    <w:rsid w:val="0051367C"/>
    <w:rsid w:val="00513C4A"/>
    <w:rsid w:val="0051413C"/>
    <w:rsid w:val="005141F4"/>
    <w:rsid w:val="005153E5"/>
    <w:rsid w:val="00515DD4"/>
    <w:rsid w:val="005164EA"/>
    <w:rsid w:val="00516BE3"/>
    <w:rsid w:val="00517FC4"/>
    <w:rsid w:val="00520170"/>
    <w:rsid w:val="005212A5"/>
    <w:rsid w:val="00521A3A"/>
    <w:rsid w:val="0052226D"/>
    <w:rsid w:val="005231B0"/>
    <w:rsid w:val="0052407A"/>
    <w:rsid w:val="00524477"/>
    <w:rsid w:val="00524D6A"/>
    <w:rsid w:val="00524E76"/>
    <w:rsid w:val="00525100"/>
    <w:rsid w:val="00525A21"/>
    <w:rsid w:val="00525D05"/>
    <w:rsid w:val="00525F1D"/>
    <w:rsid w:val="00526682"/>
    <w:rsid w:val="00526D8F"/>
    <w:rsid w:val="0052763A"/>
    <w:rsid w:val="005279ED"/>
    <w:rsid w:val="005302BF"/>
    <w:rsid w:val="005309F1"/>
    <w:rsid w:val="00530A83"/>
    <w:rsid w:val="00531555"/>
    <w:rsid w:val="005320CF"/>
    <w:rsid w:val="00532FF9"/>
    <w:rsid w:val="0053409A"/>
    <w:rsid w:val="00534456"/>
    <w:rsid w:val="005345B1"/>
    <w:rsid w:val="00534EAF"/>
    <w:rsid w:val="00535BCC"/>
    <w:rsid w:val="00535D00"/>
    <w:rsid w:val="00535F6D"/>
    <w:rsid w:val="00536726"/>
    <w:rsid w:val="00536883"/>
    <w:rsid w:val="00536DDB"/>
    <w:rsid w:val="00540048"/>
    <w:rsid w:val="005400ED"/>
    <w:rsid w:val="00540286"/>
    <w:rsid w:val="0054100C"/>
    <w:rsid w:val="00541D40"/>
    <w:rsid w:val="00542067"/>
    <w:rsid w:val="00542808"/>
    <w:rsid w:val="00542809"/>
    <w:rsid w:val="00542BA4"/>
    <w:rsid w:val="00543123"/>
    <w:rsid w:val="005435AC"/>
    <w:rsid w:val="00543AD8"/>
    <w:rsid w:val="00543D9F"/>
    <w:rsid w:val="00544083"/>
    <w:rsid w:val="00544ECE"/>
    <w:rsid w:val="00545754"/>
    <w:rsid w:val="0054667C"/>
    <w:rsid w:val="005467D8"/>
    <w:rsid w:val="00547385"/>
    <w:rsid w:val="005475C5"/>
    <w:rsid w:val="00547868"/>
    <w:rsid w:val="00547884"/>
    <w:rsid w:val="00547CAD"/>
    <w:rsid w:val="005509F1"/>
    <w:rsid w:val="00551376"/>
    <w:rsid w:val="00551926"/>
    <w:rsid w:val="0055236B"/>
    <w:rsid w:val="005526F7"/>
    <w:rsid w:val="00552E0E"/>
    <w:rsid w:val="00552FD6"/>
    <w:rsid w:val="0055333F"/>
    <w:rsid w:val="005538CF"/>
    <w:rsid w:val="00554793"/>
    <w:rsid w:val="00554E94"/>
    <w:rsid w:val="0055612E"/>
    <w:rsid w:val="0055766B"/>
    <w:rsid w:val="005578B8"/>
    <w:rsid w:val="00557D57"/>
    <w:rsid w:val="005600B6"/>
    <w:rsid w:val="005600D3"/>
    <w:rsid w:val="005604E2"/>
    <w:rsid w:val="00560673"/>
    <w:rsid w:val="00560EA8"/>
    <w:rsid w:val="00561AFE"/>
    <w:rsid w:val="00562F61"/>
    <w:rsid w:val="005636B2"/>
    <w:rsid w:val="00563B7C"/>
    <w:rsid w:val="0056446E"/>
    <w:rsid w:val="00564D71"/>
    <w:rsid w:val="005651EC"/>
    <w:rsid w:val="005660E0"/>
    <w:rsid w:val="005673D7"/>
    <w:rsid w:val="005703E4"/>
    <w:rsid w:val="005706D0"/>
    <w:rsid w:val="00570776"/>
    <w:rsid w:val="00570CCC"/>
    <w:rsid w:val="00571083"/>
    <w:rsid w:val="0057120A"/>
    <w:rsid w:val="00571281"/>
    <w:rsid w:val="00572E47"/>
    <w:rsid w:val="00573397"/>
    <w:rsid w:val="00573A0C"/>
    <w:rsid w:val="00574202"/>
    <w:rsid w:val="00574350"/>
    <w:rsid w:val="005748E0"/>
    <w:rsid w:val="00575152"/>
    <w:rsid w:val="0057521D"/>
    <w:rsid w:val="00575AC1"/>
    <w:rsid w:val="00575EA4"/>
    <w:rsid w:val="00575F17"/>
    <w:rsid w:val="0057630A"/>
    <w:rsid w:val="005769E2"/>
    <w:rsid w:val="00576E1E"/>
    <w:rsid w:val="00576F3D"/>
    <w:rsid w:val="00582742"/>
    <w:rsid w:val="00583B9D"/>
    <w:rsid w:val="00583BC8"/>
    <w:rsid w:val="00583E87"/>
    <w:rsid w:val="005844B4"/>
    <w:rsid w:val="00585269"/>
    <w:rsid w:val="00585447"/>
    <w:rsid w:val="0058574C"/>
    <w:rsid w:val="00585A58"/>
    <w:rsid w:val="00585AE5"/>
    <w:rsid w:val="00585D63"/>
    <w:rsid w:val="00586051"/>
    <w:rsid w:val="00586785"/>
    <w:rsid w:val="00586A82"/>
    <w:rsid w:val="00587FCA"/>
    <w:rsid w:val="0059019C"/>
    <w:rsid w:val="00590613"/>
    <w:rsid w:val="005910F4"/>
    <w:rsid w:val="00591480"/>
    <w:rsid w:val="00591A2F"/>
    <w:rsid w:val="00592E11"/>
    <w:rsid w:val="005931E1"/>
    <w:rsid w:val="005936B4"/>
    <w:rsid w:val="005940F7"/>
    <w:rsid w:val="00594781"/>
    <w:rsid w:val="005949C2"/>
    <w:rsid w:val="00594DEA"/>
    <w:rsid w:val="00595531"/>
    <w:rsid w:val="00595CE7"/>
    <w:rsid w:val="00595DED"/>
    <w:rsid w:val="0059704A"/>
    <w:rsid w:val="0059761A"/>
    <w:rsid w:val="005978D1"/>
    <w:rsid w:val="005A06D8"/>
    <w:rsid w:val="005A0B48"/>
    <w:rsid w:val="005A0C46"/>
    <w:rsid w:val="005A19BD"/>
    <w:rsid w:val="005A1BBD"/>
    <w:rsid w:val="005A1CE7"/>
    <w:rsid w:val="005A1D2E"/>
    <w:rsid w:val="005A1FE7"/>
    <w:rsid w:val="005A21B8"/>
    <w:rsid w:val="005A37B4"/>
    <w:rsid w:val="005A3912"/>
    <w:rsid w:val="005A3D2C"/>
    <w:rsid w:val="005A42AA"/>
    <w:rsid w:val="005A437D"/>
    <w:rsid w:val="005A46B4"/>
    <w:rsid w:val="005A5339"/>
    <w:rsid w:val="005A5858"/>
    <w:rsid w:val="005A62F3"/>
    <w:rsid w:val="005A649C"/>
    <w:rsid w:val="005B003F"/>
    <w:rsid w:val="005B0623"/>
    <w:rsid w:val="005B0D34"/>
    <w:rsid w:val="005B0E74"/>
    <w:rsid w:val="005B18E7"/>
    <w:rsid w:val="005B1D03"/>
    <w:rsid w:val="005B1DAE"/>
    <w:rsid w:val="005B23CA"/>
    <w:rsid w:val="005B24BA"/>
    <w:rsid w:val="005B29B0"/>
    <w:rsid w:val="005B2C54"/>
    <w:rsid w:val="005B2D52"/>
    <w:rsid w:val="005B32FD"/>
    <w:rsid w:val="005B3615"/>
    <w:rsid w:val="005B3B92"/>
    <w:rsid w:val="005B5300"/>
    <w:rsid w:val="005B6EEC"/>
    <w:rsid w:val="005B70CC"/>
    <w:rsid w:val="005C0AE3"/>
    <w:rsid w:val="005C0CF0"/>
    <w:rsid w:val="005C0F69"/>
    <w:rsid w:val="005C113F"/>
    <w:rsid w:val="005C16AC"/>
    <w:rsid w:val="005C1CFF"/>
    <w:rsid w:val="005C1E7D"/>
    <w:rsid w:val="005C2228"/>
    <w:rsid w:val="005C2377"/>
    <w:rsid w:val="005C28F0"/>
    <w:rsid w:val="005C2E91"/>
    <w:rsid w:val="005C3405"/>
    <w:rsid w:val="005C39AA"/>
    <w:rsid w:val="005C3AFD"/>
    <w:rsid w:val="005C411B"/>
    <w:rsid w:val="005C46C1"/>
    <w:rsid w:val="005C53E9"/>
    <w:rsid w:val="005C5D51"/>
    <w:rsid w:val="005C787D"/>
    <w:rsid w:val="005C7B4F"/>
    <w:rsid w:val="005D0290"/>
    <w:rsid w:val="005D0655"/>
    <w:rsid w:val="005D06AB"/>
    <w:rsid w:val="005D1017"/>
    <w:rsid w:val="005D129D"/>
    <w:rsid w:val="005D1650"/>
    <w:rsid w:val="005D1D03"/>
    <w:rsid w:val="005D285B"/>
    <w:rsid w:val="005D2871"/>
    <w:rsid w:val="005D3674"/>
    <w:rsid w:val="005D4497"/>
    <w:rsid w:val="005D4766"/>
    <w:rsid w:val="005D56B8"/>
    <w:rsid w:val="005D56CD"/>
    <w:rsid w:val="005D56DB"/>
    <w:rsid w:val="005D5AC4"/>
    <w:rsid w:val="005D5EC8"/>
    <w:rsid w:val="005D66A1"/>
    <w:rsid w:val="005D731C"/>
    <w:rsid w:val="005D7FD3"/>
    <w:rsid w:val="005E0345"/>
    <w:rsid w:val="005E05D3"/>
    <w:rsid w:val="005E0936"/>
    <w:rsid w:val="005E0E8F"/>
    <w:rsid w:val="005E27F1"/>
    <w:rsid w:val="005E2922"/>
    <w:rsid w:val="005E2A04"/>
    <w:rsid w:val="005E2E28"/>
    <w:rsid w:val="005E33F6"/>
    <w:rsid w:val="005E36CE"/>
    <w:rsid w:val="005E3CB5"/>
    <w:rsid w:val="005E4DED"/>
    <w:rsid w:val="005E5CB7"/>
    <w:rsid w:val="005E5D6D"/>
    <w:rsid w:val="005E6EE9"/>
    <w:rsid w:val="005E7B6C"/>
    <w:rsid w:val="005E7C7D"/>
    <w:rsid w:val="005F045A"/>
    <w:rsid w:val="005F1AF6"/>
    <w:rsid w:val="005F1E0A"/>
    <w:rsid w:val="005F21B5"/>
    <w:rsid w:val="005F23B9"/>
    <w:rsid w:val="005F2949"/>
    <w:rsid w:val="005F2A19"/>
    <w:rsid w:val="005F34CE"/>
    <w:rsid w:val="005F3724"/>
    <w:rsid w:val="005F387A"/>
    <w:rsid w:val="005F3DAA"/>
    <w:rsid w:val="005F3F64"/>
    <w:rsid w:val="005F49C4"/>
    <w:rsid w:val="005F5072"/>
    <w:rsid w:val="005F5B38"/>
    <w:rsid w:val="005F5F95"/>
    <w:rsid w:val="005F5FDB"/>
    <w:rsid w:val="005F696C"/>
    <w:rsid w:val="005F6E65"/>
    <w:rsid w:val="005F7EC3"/>
    <w:rsid w:val="00600627"/>
    <w:rsid w:val="00600789"/>
    <w:rsid w:val="00600B0A"/>
    <w:rsid w:val="00601776"/>
    <w:rsid w:val="00601EC2"/>
    <w:rsid w:val="006022DE"/>
    <w:rsid w:val="00602954"/>
    <w:rsid w:val="00603A33"/>
    <w:rsid w:val="00603E29"/>
    <w:rsid w:val="00604720"/>
    <w:rsid w:val="0060511E"/>
    <w:rsid w:val="00605794"/>
    <w:rsid w:val="00605CFE"/>
    <w:rsid w:val="00606035"/>
    <w:rsid w:val="00606A14"/>
    <w:rsid w:val="00606DCF"/>
    <w:rsid w:val="00606F42"/>
    <w:rsid w:val="0060779A"/>
    <w:rsid w:val="00610032"/>
    <w:rsid w:val="00610186"/>
    <w:rsid w:val="00610C92"/>
    <w:rsid w:val="006110F9"/>
    <w:rsid w:val="006112CA"/>
    <w:rsid w:val="00611B87"/>
    <w:rsid w:val="006120E9"/>
    <w:rsid w:val="00612464"/>
    <w:rsid w:val="00612B14"/>
    <w:rsid w:val="00612D8E"/>
    <w:rsid w:val="00613B45"/>
    <w:rsid w:val="00613C3B"/>
    <w:rsid w:val="00614120"/>
    <w:rsid w:val="006145EA"/>
    <w:rsid w:val="0061473F"/>
    <w:rsid w:val="00614D6A"/>
    <w:rsid w:val="00615075"/>
    <w:rsid w:val="00615982"/>
    <w:rsid w:val="0061661D"/>
    <w:rsid w:val="006166FA"/>
    <w:rsid w:val="00617155"/>
    <w:rsid w:val="006179AE"/>
    <w:rsid w:val="00617A13"/>
    <w:rsid w:val="00620C22"/>
    <w:rsid w:val="00621320"/>
    <w:rsid w:val="006213F6"/>
    <w:rsid w:val="006214D5"/>
    <w:rsid w:val="00621ABF"/>
    <w:rsid w:val="006225A3"/>
    <w:rsid w:val="00622A49"/>
    <w:rsid w:val="0062321E"/>
    <w:rsid w:val="0062491C"/>
    <w:rsid w:val="00624961"/>
    <w:rsid w:val="00624B9A"/>
    <w:rsid w:val="00624C13"/>
    <w:rsid w:val="00625FFD"/>
    <w:rsid w:val="006261C2"/>
    <w:rsid w:val="0062636E"/>
    <w:rsid w:val="006263AE"/>
    <w:rsid w:val="00626609"/>
    <w:rsid w:val="006266F5"/>
    <w:rsid w:val="0062719F"/>
    <w:rsid w:val="00627520"/>
    <w:rsid w:val="006304EC"/>
    <w:rsid w:val="0063058A"/>
    <w:rsid w:val="0063086D"/>
    <w:rsid w:val="00631B76"/>
    <w:rsid w:val="00632074"/>
    <w:rsid w:val="00632E3F"/>
    <w:rsid w:val="006331AA"/>
    <w:rsid w:val="006338FA"/>
    <w:rsid w:val="00634782"/>
    <w:rsid w:val="00634C3E"/>
    <w:rsid w:val="00635B2A"/>
    <w:rsid w:val="00635D64"/>
    <w:rsid w:val="00636CF9"/>
    <w:rsid w:val="00640A88"/>
    <w:rsid w:val="00640BF4"/>
    <w:rsid w:val="00640C63"/>
    <w:rsid w:val="00641FE6"/>
    <w:rsid w:val="006425FE"/>
    <w:rsid w:val="00642FDE"/>
    <w:rsid w:val="00643145"/>
    <w:rsid w:val="006436C9"/>
    <w:rsid w:val="006439A2"/>
    <w:rsid w:val="00643E5A"/>
    <w:rsid w:val="006440A8"/>
    <w:rsid w:val="006441E9"/>
    <w:rsid w:val="0064461D"/>
    <w:rsid w:val="00644D71"/>
    <w:rsid w:val="006459ED"/>
    <w:rsid w:val="00645DC1"/>
    <w:rsid w:val="0064665D"/>
    <w:rsid w:val="006468BE"/>
    <w:rsid w:val="006468C7"/>
    <w:rsid w:val="00646BAD"/>
    <w:rsid w:val="0064718F"/>
    <w:rsid w:val="006475E6"/>
    <w:rsid w:val="0065036D"/>
    <w:rsid w:val="00650C2F"/>
    <w:rsid w:val="00650C56"/>
    <w:rsid w:val="00650D0B"/>
    <w:rsid w:val="00651F95"/>
    <w:rsid w:val="006522A6"/>
    <w:rsid w:val="00652B75"/>
    <w:rsid w:val="006536F8"/>
    <w:rsid w:val="00653DEE"/>
    <w:rsid w:val="00654077"/>
    <w:rsid w:val="006542F2"/>
    <w:rsid w:val="006546C1"/>
    <w:rsid w:val="00654A1D"/>
    <w:rsid w:val="0065519C"/>
    <w:rsid w:val="00655A91"/>
    <w:rsid w:val="00655B65"/>
    <w:rsid w:val="00656DA9"/>
    <w:rsid w:val="0065727B"/>
    <w:rsid w:val="006576BF"/>
    <w:rsid w:val="00657F02"/>
    <w:rsid w:val="00660E71"/>
    <w:rsid w:val="00660FA8"/>
    <w:rsid w:val="00661714"/>
    <w:rsid w:val="006618BF"/>
    <w:rsid w:val="00661CA8"/>
    <w:rsid w:val="00661E57"/>
    <w:rsid w:val="00662723"/>
    <w:rsid w:val="0066276E"/>
    <w:rsid w:val="00663669"/>
    <w:rsid w:val="00663C3C"/>
    <w:rsid w:val="0066420B"/>
    <w:rsid w:val="0066423D"/>
    <w:rsid w:val="0066445D"/>
    <w:rsid w:val="006647E4"/>
    <w:rsid w:val="006654D5"/>
    <w:rsid w:val="00666941"/>
    <w:rsid w:val="00667055"/>
    <w:rsid w:val="006670FC"/>
    <w:rsid w:val="006677AD"/>
    <w:rsid w:val="006678DA"/>
    <w:rsid w:val="006704EA"/>
    <w:rsid w:val="0067075B"/>
    <w:rsid w:val="006709EA"/>
    <w:rsid w:val="00670EDC"/>
    <w:rsid w:val="006715A6"/>
    <w:rsid w:val="00671CB6"/>
    <w:rsid w:val="00671DFF"/>
    <w:rsid w:val="0067280D"/>
    <w:rsid w:val="00672855"/>
    <w:rsid w:val="00672C61"/>
    <w:rsid w:val="00673F40"/>
    <w:rsid w:val="006743B5"/>
    <w:rsid w:val="00674BFE"/>
    <w:rsid w:val="00675722"/>
    <w:rsid w:val="0067591B"/>
    <w:rsid w:val="00675E2B"/>
    <w:rsid w:val="0067615F"/>
    <w:rsid w:val="00676776"/>
    <w:rsid w:val="00676860"/>
    <w:rsid w:val="006777EB"/>
    <w:rsid w:val="006807AE"/>
    <w:rsid w:val="00680AD5"/>
    <w:rsid w:val="0068205B"/>
    <w:rsid w:val="0068234A"/>
    <w:rsid w:val="006823C4"/>
    <w:rsid w:val="006824BE"/>
    <w:rsid w:val="00682664"/>
    <w:rsid w:val="0068266A"/>
    <w:rsid w:val="006826A8"/>
    <w:rsid w:val="00682802"/>
    <w:rsid w:val="006830A8"/>
    <w:rsid w:val="0068395A"/>
    <w:rsid w:val="00683A20"/>
    <w:rsid w:val="00683C5C"/>
    <w:rsid w:val="00684673"/>
    <w:rsid w:val="00684DEA"/>
    <w:rsid w:val="00684FA7"/>
    <w:rsid w:val="00685551"/>
    <w:rsid w:val="00685575"/>
    <w:rsid w:val="00685934"/>
    <w:rsid w:val="0068667B"/>
    <w:rsid w:val="00686A64"/>
    <w:rsid w:val="00686F7C"/>
    <w:rsid w:val="00686FEF"/>
    <w:rsid w:val="0068709B"/>
    <w:rsid w:val="00687AC8"/>
    <w:rsid w:val="00687D2E"/>
    <w:rsid w:val="00690E8D"/>
    <w:rsid w:val="00691DAD"/>
    <w:rsid w:val="00692166"/>
    <w:rsid w:val="0069259C"/>
    <w:rsid w:val="00692736"/>
    <w:rsid w:val="006929AB"/>
    <w:rsid w:val="00692E9D"/>
    <w:rsid w:val="00693267"/>
    <w:rsid w:val="0069380F"/>
    <w:rsid w:val="00694980"/>
    <w:rsid w:val="00695139"/>
    <w:rsid w:val="00695F3A"/>
    <w:rsid w:val="00696A41"/>
    <w:rsid w:val="00696AC0"/>
    <w:rsid w:val="00696B1E"/>
    <w:rsid w:val="00696F6E"/>
    <w:rsid w:val="00696F77"/>
    <w:rsid w:val="00697431"/>
    <w:rsid w:val="006977BD"/>
    <w:rsid w:val="006A0480"/>
    <w:rsid w:val="006A163A"/>
    <w:rsid w:val="006A2497"/>
    <w:rsid w:val="006A2ABD"/>
    <w:rsid w:val="006A3521"/>
    <w:rsid w:val="006A3DB2"/>
    <w:rsid w:val="006A4139"/>
    <w:rsid w:val="006A477C"/>
    <w:rsid w:val="006A4DC8"/>
    <w:rsid w:val="006A5BE2"/>
    <w:rsid w:val="006A628F"/>
    <w:rsid w:val="006A69D0"/>
    <w:rsid w:val="006A716C"/>
    <w:rsid w:val="006A725B"/>
    <w:rsid w:val="006B16E7"/>
    <w:rsid w:val="006B2F75"/>
    <w:rsid w:val="006B2FD2"/>
    <w:rsid w:val="006B3059"/>
    <w:rsid w:val="006B39FD"/>
    <w:rsid w:val="006B3EB0"/>
    <w:rsid w:val="006B42C6"/>
    <w:rsid w:val="006B48A6"/>
    <w:rsid w:val="006B4ADA"/>
    <w:rsid w:val="006B4C77"/>
    <w:rsid w:val="006B4FF2"/>
    <w:rsid w:val="006B504F"/>
    <w:rsid w:val="006B5898"/>
    <w:rsid w:val="006B5E19"/>
    <w:rsid w:val="006B6183"/>
    <w:rsid w:val="006B691D"/>
    <w:rsid w:val="006B6AF7"/>
    <w:rsid w:val="006C05F8"/>
    <w:rsid w:val="006C0C38"/>
    <w:rsid w:val="006C1D00"/>
    <w:rsid w:val="006C1E24"/>
    <w:rsid w:val="006C2141"/>
    <w:rsid w:val="006C2158"/>
    <w:rsid w:val="006C237A"/>
    <w:rsid w:val="006C2641"/>
    <w:rsid w:val="006C28C3"/>
    <w:rsid w:val="006C3B72"/>
    <w:rsid w:val="006C3FD5"/>
    <w:rsid w:val="006C4E12"/>
    <w:rsid w:val="006C521D"/>
    <w:rsid w:val="006C535F"/>
    <w:rsid w:val="006C542C"/>
    <w:rsid w:val="006C5CF4"/>
    <w:rsid w:val="006C6BCC"/>
    <w:rsid w:val="006C7841"/>
    <w:rsid w:val="006C7C98"/>
    <w:rsid w:val="006D0305"/>
    <w:rsid w:val="006D05A6"/>
    <w:rsid w:val="006D0728"/>
    <w:rsid w:val="006D0777"/>
    <w:rsid w:val="006D0C48"/>
    <w:rsid w:val="006D165E"/>
    <w:rsid w:val="006D23D4"/>
    <w:rsid w:val="006D2630"/>
    <w:rsid w:val="006D2641"/>
    <w:rsid w:val="006D2917"/>
    <w:rsid w:val="006D2F3E"/>
    <w:rsid w:val="006D3555"/>
    <w:rsid w:val="006D3A8F"/>
    <w:rsid w:val="006D4FDD"/>
    <w:rsid w:val="006D5341"/>
    <w:rsid w:val="006D5A21"/>
    <w:rsid w:val="006D5A54"/>
    <w:rsid w:val="006D66CB"/>
    <w:rsid w:val="006D7C9D"/>
    <w:rsid w:val="006D7CA4"/>
    <w:rsid w:val="006D7DEC"/>
    <w:rsid w:val="006E0239"/>
    <w:rsid w:val="006E053D"/>
    <w:rsid w:val="006E1460"/>
    <w:rsid w:val="006E179E"/>
    <w:rsid w:val="006E189E"/>
    <w:rsid w:val="006E24D7"/>
    <w:rsid w:val="006E264B"/>
    <w:rsid w:val="006E2A69"/>
    <w:rsid w:val="006E2D88"/>
    <w:rsid w:val="006E2FD7"/>
    <w:rsid w:val="006E34CC"/>
    <w:rsid w:val="006E3705"/>
    <w:rsid w:val="006E3A34"/>
    <w:rsid w:val="006E43B5"/>
    <w:rsid w:val="006E445D"/>
    <w:rsid w:val="006E525C"/>
    <w:rsid w:val="006E52EB"/>
    <w:rsid w:val="006E5481"/>
    <w:rsid w:val="006E5AEB"/>
    <w:rsid w:val="006E6208"/>
    <w:rsid w:val="006E6453"/>
    <w:rsid w:val="006E7AF5"/>
    <w:rsid w:val="006F0029"/>
    <w:rsid w:val="006F0645"/>
    <w:rsid w:val="006F088B"/>
    <w:rsid w:val="006F0ABF"/>
    <w:rsid w:val="006F0B68"/>
    <w:rsid w:val="006F1A04"/>
    <w:rsid w:val="006F1A2B"/>
    <w:rsid w:val="006F1BEE"/>
    <w:rsid w:val="006F2045"/>
    <w:rsid w:val="006F2307"/>
    <w:rsid w:val="006F2979"/>
    <w:rsid w:val="006F2C29"/>
    <w:rsid w:val="006F2C70"/>
    <w:rsid w:val="006F3234"/>
    <w:rsid w:val="006F4056"/>
    <w:rsid w:val="006F5051"/>
    <w:rsid w:val="006F5A30"/>
    <w:rsid w:val="006F68CE"/>
    <w:rsid w:val="006F707A"/>
    <w:rsid w:val="007006F1"/>
    <w:rsid w:val="00700A4E"/>
    <w:rsid w:val="00701B07"/>
    <w:rsid w:val="007024BB"/>
    <w:rsid w:val="00702C07"/>
    <w:rsid w:val="00702D97"/>
    <w:rsid w:val="00702E88"/>
    <w:rsid w:val="0070382F"/>
    <w:rsid w:val="00703AE9"/>
    <w:rsid w:val="00703DFB"/>
    <w:rsid w:val="00705A2C"/>
    <w:rsid w:val="00706101"/>
    <w:rsid w:val="00706550"/>
    <w:rsid w:val="00706599"/>
    <w:rsid w:val="007071AF"/>
    <w:rsid w:val="007071D3"/>
    <w:rsid w:val="007073A8"/>
    <w:rsid w:val="007100A8"/>
    <w:rsid w:val="00710467"/>
    <w:rsid w:val="00710682"/>
    <w:rsid w:val="0071137C"/>
    <w:rsid w:val="007119F8"/>
    <w:rsid w:val="00711E14"/>
    <w:rsid w:val="007137A5"/>
    <w:rsid w:val="00713C99"/>
    <w:rsid w:val="00713E2B"/>
    <w:rsid w:val="00715A77"/>
    <w:rsid w:val="0071644B"/>
    <w:rsid w:val="00716F47"/>
    <w:rsid w:val="00717109"/>
    <w:rsid w:val="00717AA7"/>
    <w:rsid w:val="00717B4B"/>
    <w:rsid w:val="00717DD3"/>
    <w:rsid w:val="00720125"/>
    <w:rsid w:val="0072039C"/>
    <w:rsid w:val="007203A8"/>
    <w:rsid w:val="007204D0"/>
    <w:rsid w:val="00720E39"/>
    <w:rsid w:val="007212F8"/>
    <w:rsid w:val="00721B22"/>
    <w:rsid w:val="00721F1E"/>
    <w:rsid w:val="007227E8"/>
    <w:rsid w:val="007229E3"/>
    <w:rsid w:val="00723557"/>
    <w:rsid w:val="00723616"/>
    <w:rsid w:val="0072495B"/>
    <w:rsid w:val="00724AB6"/>
    <w:rsid w:val="00724B30"/>
    <w:rsid w:val="00725927"/>
    <w:rsid w:val="00725937"/>
    <w:rsid w:val="0072709F"/>
    <w:rsid w:val="007275C5"/>
    <w:rsid w:val="00727C6F"/>
    <w:rsid w:val="00731BD4"/>
    <w:rsid w:val="00732F27"/>
    <w:rsid w:val="0073391F"/>
    <w:rsid w:val="007339E7"/>
    <w:rsid w:val="00734503"/>
    <w:rsid w:val="00735222"/>
    <w:rsid w:val="007358BF"/>
    <w:rsid w:val="007358F0"/>
    <w:rsid w:val="00735D2D"/>
    <w:rsid w:val="00735F28"/>
    <w:rsid w:val="007360E1"/>
    <w:rsid w:val="00736120"/>
    <w:rsid w:val="007361A8"/>
    <w:rsid w:val="007373AC"/>
    <w:rsid w:val="00737DEE"/>
    <w:rsid w:val="0074221C"/>
    <w:rsid w:val="0074295A"/>
    <w:rsid w:val="0074327E"/>
    <w:rsid w:val="00743B39"/>
    <w:rsid w:val="00743B8C"/>
    <w:rsid w:val="00743BB7"/>
    <w:rsid w:val="00743C5A"/>
    <w:rsid w:val="00743F22"/>
    <w:rsid w:val="007440AA"/>
    <w:rsid w:val="00744440"/>
    <w:rsid w:val="007450A6"/>
    <w:rsid w:val="00745941"/>
    <w:rsid w:val="007459EE"/>
    <w:rsid w:val="00745DB8"/>
    <w:rsid w:val="00746B12"/>
    <w:rsid w:val="0074766F"/>
    <w:rsid w:val="00747CD9"/>
    <w:rsid w:val="00750326"/>
    <w:rsid w:val="00750605"/>
    <w:rsid w:val="007506A7"/>
    <w:rsid w:val="00751245"/>
    <w:rsid w:val="007517E6"/>
    <w:rsid w:val="00751FD9"/>
    <w:rsid w:val="0075209E"/>
    <w:rsid w:val="00753165"/>
    <w:rsid w:val="0075346C"/>
    <w:rsid w:val="00753E2E"/>
    <w:rsid w:val="00755554"/>
    <w:rsid w:val="0075570D"/>
    <w:rsid w:val="00755B00"/>
    <w:rsid w:val="00756336"/>
    <w:rsid w:val="0075669B"/>
    <w:rsid w:val="00756F64"/>
    <w:rsid w:val="007600BE"/>
    <w:rsid w:val="00760E5B"/>
    <w:rsid w:val="00761296"/>
    <w:rsid w:val="00761B56"/>
    <w:rsid w:val="007624D5"/>
    <w:rsid w:val="007633FB"/>
    <w:rsid w:val="0076341A"/>
    <w:rsid w:val="007638EA"/>
    <w:rsid w:val="00763BF9"/>
    <w:rsid w:val="00764CDF"/>
    <w:rsid w:val="00765D8D"/>
    <w:rsid w:val="00766DE2"/>
    <w:rsid w:val="007677A4"/>
    <w:rsid w:val="007705EA"/>
    <w:rsid w:val="00770947"/>
    <w:rsid w:val="00771291"/>
    <w:rsid w:val="0077199C"/>
    <w:rsid w:val="007719AD"/>
    <w:rsid w:val="00771DF2"/>
    <w:rsid w:val="0077281A"/>
    <w:rsid w:val="00772EC2"/>
    <w:rsid w:val="007736F4"/>
    <w:rsid w:val="007737A6"/>
    <w:rsid w:val="00773837"/>
    <w:rsid w:val="00773E92"/>
    <w:rsid w:val="00774BFB"/>
    <w:rsid w:val="00775180"/>
    <w:rsid w:val="007756AC"/>
    <w:rsid w:val="00776291"/>
    <w:rsid w:val="007766E9"/>
    <w:rsid w:val="007778F9"/>
    <w:rsid w:val="00777ADF"/>
    <w:rsid w:val="00780038"/>
    <w:rsid w:val="0078035D"/>
    <w:rsid w:val="007806D8"/>
    <w:rsid w:val="0078098C"/>
    <w:rsid w:val="0078110D"/>
    <w:rsid w:val="00781595"/>
    <w:rsid w:val="00782904"/>
    <w:rsid w:val="00782975"/>
    <w:rsid w:val="00782BE8"/>
    <w:rsid w:val="00783391"/>
    <w:rsid w:val="007834FB"/>
    <w:rsid w:val="007836D7"/>
    <w:rsid w:val="00784456"/>
    <w:rsid w:val="00784ADC"/>
    <w:rsid w:val="00784DBF"/>
    <w:rsid w:val="00784F42"/>
    <w:rsid w:val="007853ED"/>
    <w:rsid w:val="00785448"/>
    <w:rsid w:val="00785E15"/>
    <w:rsid w:val="007860B6"/>
    <w:rsid w:val="007862BF"/>
    <w:rsid w:val="0078685B"/>
    <w:rsid w:val="0078687F"/>
    <w:rsid w:val="00787286"/>
    <w:rsid w:val="00787A42"/>
    <w:rsid w:val="00790D28"/>
    <w:rsid w:val="00790FE4"/>
    <w:rsid w:val="00791218"/>
    <w:rsid w:val="00791987"/>
    <w:rsid w:val="00791C1B"/>
    <w:rsid w:val="00792FAB"/>
    <w:rsid w:val="007938C8"/>
    <w:rsid w:val="00793E30"/>
    <w:rsid w:val="007940EB"/>
    <w:rsid w:val="007941B2"/>
    <w:rsid w:val="007948C3"/>
    <w:rsid w:val="00794F09"/>
    <w:rsid w:val="00795477"/>
    <w:rsid w:val="00795778"/>
    <w:rsid w:val="00795A92"/>
    <w:rsid w:val="00795E65"/>
    <w:rsid w:val="00796961"/>
    <w:rsid w:val="0079715A"/>
    <w:rsid w:val="007971A4"/>
    <w:rsid w:val="007973FC"/>
    <w:rsid w:val="0079791E"/>
    <w:rsid w:val="007A0113"/>
    <w:rsid w:val="007A0483"/>
    <w:rsid w:val="007A1822"/>
    <w:rsid w:val="007A22EF"/>
    <w:rsid w:val="007A2512"/>
    <w:rsid w:val="007A2D43"/>
    <w:rsid w:val="007A2F2E"/>
    <w:rsid w:val="007A35D3"/>
    <w:rsid w:val="007A3C0B"/>
    <w:rsid w:val="007A4501"/>
    <w:rsid w:val="007A46F3"/>
    <w:rsid w:val="007A599D"/>
    <w:rsid w:val="007A5C4A"/>
    <w:rsid w:val="007A5CFE"/>
    <w:rsid w:val="007A5DA4"/>
    <w:rsid w:val="007A62A5"/>
    <w:rsid w:val="007A634C"/>
    <w:rsid w:val="007A64C1"/>
    <w:rsid w:val="007A65CC"/>
    <w:rsid w:val="007A6677"/>
    <w:rsid w:val="007A66DB"/>
    <w:rsid w:val="007A6B67"/>
    <w:rsid w:val="007A7521"/>
    <w:rsid w:val="007A763F"/>
    <w:rsid w:val="007B0237"/>
    <w:rsid w:val="007B02C8"/>
    <w:rsid w:val="007B0D90"/>
    <w:rsid w:val="007B1493"/>
    <w:rsid w:val="007B1C2C"/>
    <w:rsid w:val="007B1CAE"/>
    <w:rsid w:val="007B209F"/>
    <w:rsid w:val="007B2610"/>
    <w:rsid w:val="007B2D03"/>
    <w:rsid w:val="007B339B"/>
    <w:rsid w:val="007B366F"/>
    <w:rsid w:val="007B36BF"/>
    <w:rsid w:val="007B37D5"/>
    <w:rsid w:val="007B3B03"/>
    <w:rsid w:val="007B3F77"/>
    <w:rsid w:val="007B43D0"/>
    <w:rsid w:val="007B44BA"/>
    <w:rsid w:val="007B5516"/>
    <w:rsid w:val="007B558C"/>
    <w:rsid w:val="007B5985"/>
    <w:rsid w:val="007B5B53"/>
    <w:rsid w:val="007B5CB4"/>
    <w:rsid w:val="007B662A"/>
    <w:rsid w:val="007B6D6A"/>
    <w:rsid w:val="007B73EB"/>
    <w:rsid w:val="007B784A"/>
    <w:rsid w:val="007B7ABC"/>
    <w:rsid w:val="007B7FED"/>
    <w:rsid w:val="007C0489"/>
    <w:rsid w:val="007C1885"/>
    <w:rsid w:val="007C1FC7"/>
    <w:rsid w:val="007C2292"/>
    <w:rsid w:val="007C29A4"/>
    <w:rsid w:val="007C2FA7"/>
    <w:rsid w:val="007C31CE"/>
    <w:rsid w:val="007C374B"/>
    <w:rsid w:val="007C3AD9"/>
    <w:rsid w:val="007C4020"/>
    <w:rsid w:val="007C475F"/>
    <w:rsid w:val="007C4A1A"/>
    <w:rsid w:val="007C4B7E"/>
    <w:rsid w:val="007C4C77"/>
    <w:rsid w:val="007C50AA"/>
    <w:rsid w:val="007C5A25"/>
    <w:rsid w:val="007C602A"/>
    <w:rsid w:val="007C6343"/>
    <w:rsid w:val="007C6800"/>
    <w:rsid w:val="007C698A"/>
    <w:rsid w:val="007C705F"/>
    <w:rsid w:val="007C73B3"/>
    <w:rsid w:val="007C7411"/>
    <w:rsid w:val="007C7D27"/>
    <w:rsid w:val="007D10B3"/>
    <w:rsid w:val="007D10BF"/>
    <w:rsid w:val="007D1243"/>
    <w:rsid w:val="007D1BC4"/>
    <w:rsid w:val="007D24D9"/>
    <w:rsid w:val="007D25A0"/>
    <w:rsid w:val="007D28D8"/>
    <w:rsid w:val="007D2BB9"/>
    <w:rsid w:val="007D3BCC"/>
    <w:rsid w:val="007D3F88"/>
    <w:rsid w:val="007D4123"/>
    <w:rsid w:val="007D4187"/>
    <w:rsid w:val="007D437B"/>
    <w:rsid w:val="007D50D6"/>
    <w:rsid w:val="007D6317"/>
    <w:rsid w:val="007D66A0"/>
    <w:rsid w:val="007D6981"/>
    <w:rsid w:val="007D6FF4"/>
    <w:rsid w:val="007D7418"/>
    <w:rsid w:val="007D7CD0"/>
    <w:rsid w:val="007D7E52"/>
    <w:rsid w:val="007E05C6"/>
    <w:rsid w:val="007E1026"/>
    <w:rsid w:val="007E1155"/>
    <w:rsid w:val="007E17A6"/>
    <w:rsid w:val="007E18E6"/>
    <w:rsid w:val="007E19B4"/>
    <w:rsid w:val="007E2096"/>
    <w:rsid w:val="007E20A6"/>
    <w:rsid w:val="007E22A1"/>
    <w:rsid w:val="007E22E1"/>
    <w:rsid w:val="007E2906"/>
    <w:rsid w:val="007E2C3F"/>
    <w:rsid w:val="007E2D97"/>
    <w:rsid w:val="007E2F56"/>
    <w:rsid w:val="007E3234"/>
    <w:rsid w:val="007E3246"/>
    <w:rsid w:val="007E4150"/>
    <w:rsid w:val="007E4C77"/>
    <w:rsid w:val="007E4DC4"/>
    <w:rsid w:val="007E4DF3"/>
    <w:rsid w:val="007E5232"/>
    <w:rsid w:val="007E595A"/>
    <w:rsid w:val="007E5D49"/>
    <w:rsid w:val="007E6649"/>
    <w:rsid w:val="007E671C"/>
    <w:rsid w:val="007E6D10"/>
    <w:rsid w:val="007E713F"/>
    <w:rsid w:val="007E7172"/>
    <w:rsid w:val="007E79DA"/>
    <w:rsid w:val="007F01A5"/>
    <w:rsid w:val="007F0D4D"/>
    <w:rsid w:val="007F15AD"/>
    <w:rsid w:val="007F1956"/>
    <w:rsid w:val="007F21C1"/>
    <w:rsid w:val="007F2676"/>
    <w:rsid w:val="007F2BBD"/>
    <w:rsid w:val="007F3620"/>
    <w:rsid w:val="007F4102"/>
    <w:rsid w:val="007F430C"/>
    <w:rsid w:val="007F4344"/>
    <w:rsid w:val="007F5E5A"/>
    <w:rsid w:val="007F63FA"/>
    <w:rsid w:val="007F6B66"/>
    <w:rsid w:val="007F761B"/>
    <w:rsid w:val="007F79EF"/>
    <w:rsid w:val="007F7B65"/>
    <w:rsid w:val="0080043D"/>
    <w:rsid w:val="00800F1C"/>
    <w:rsid w:val="00801241"/>
    <w:rsid w:val="0080210A"/>
    <w:rsid w:val="008030FB"/>
    <w:rsid w:val="00803919"/>
    <w:rsid w:val="00803C3E"/>
    <w:rsid w:val="00803DC0"/>
    <w:rsid w:val="008040D4"/>
    <w:rsid w:val="00804AD4"/>
    <w:rsid w:val="00805886"/>
    <w:rsid w:val="008077E7"/>
    <w:rsid w:val="008078B4"/>
    <w:rsid w:val="00807A22"/>
    <w:rsid w:val="00807F36"/>
    <w:rsid w:val="00810828"/>
    <w:rsid w:val="00810FEE"/>
    <w:rsid w:val="008111B5"/>
    <w:rsid w:val="00811C07"/>
    <w:rsid w:val="00811D26"/>
    <w:rsid w:val="008121A6"/>
    <w:rsid w:val="008125C2"/>
    <w:rsid w:val="00812608"/>
    <w:rsid w:val="00812BD1"/>
    <w:rsid w:val="008139E7"/>
    <w:rsid w:val="00813B8E"/>
    <w:rsid w:val="00813C4D"/>
    <w:rsid w:val="00815497"/>
    <w:rsid w:val="008163CE"/>
    <w:rsid w:val="008168B6"/>
    <w:rsid w:val="00817005"/>
    <w:rsid w:val="008173D1"/>
    <w:rsid w:val="00817ED9"/>
    <w:rsid w:val="0082029D"/>
    <w:rsid w:val="00821092"/>
    <w:rsid w:val="0082152C"/>
    <w:rsid w:val="00821726"/>
    <w:rsid w:val="0082184D"/>
    <w:rsid w:val="00821FA0"/>
    <w:rsid w:val="008229BA"/>
    <w:rsid w:val="00824F8D"/>
    <w:rsid w:val="00825424"/>
    <w:rsid w:val="0082552B"/>
    <w:rsid w:val="00825A5D"/>
    <w:rsid w:val="00826CA1"/>
    <w:rsid w:val="00826CAA"/>
    <w:rsid w:val="00826D74"/>
    <w:rsid w:val="00827C7A"/>
    <w:rsid w:val="00827E46"/>
    <w:rsid w:val="00830D55"/>
    <w:rsid w:val="00831032"/>
    <w:rsid w:val="00832588"/>
    <w:rsid w:val="00832B44"/>
    <w:rsid w:val="00833567"/>
    <w:rsid w:val="00833806"/>
    <w:rsid w:val="00834185"/>
    <w:rsid w:val="008357A2"/>
    <w:rsid w:val="00836044"/>
    <w:rsid w:val="008369CB"/>
    <w:rsid w:val="00837179"/>
    <w:rsid w:val="00837382"/>
    <w:rsid w:val="008375A5"/>
    <w:rsid w:val="00837C74"/>
    <w:rsid w:val="008415E1"/>
    <w:rsid w:val="008418E3"/>
    <w:rsid w:val="00841B6E"/>
    <w:rsid w:val="00841FF2"/>
    <w:rsid w:val="0084213F"/>
    <w:rsid w:val="0084243A"/>
    <w:rsid w:val="00842478"/>
    <w:rsid w:val="0084247E"/>
    <w:rsid w:val="00842A95"/>
    <w:rsid w:val="0084342A"/>
    <w:rsid w:val="008434F9"/>
    <w:rsid w:val="0084364B"/>
    <w:rsid w:val="00843796"/>
    <w:rsid w:val="008439D4"/>
    <w:rsid w:val="00843C13"/>
    <w:rsid w:val="008441AD"/>
    <w:rsid w:val="00844251"/>
    <w:rsid w:val="00844483"/>
    <w:rsid w:val="008444FB"/>
    <w:rsid w:val="00844792"/>
    <w:rsid w:val="008448E6"/>
    <w:rsid w:val="00845233"/>
    <w:rsid w:val="008460F9"/>
    <w:rsid w:val="0084627D"/>
    <w:rsid w:val="00846621"/>
    <w:rsid w:val="00846D6C"/>
    <w:rsid w:val="00846E96"/>
    <w:rsid w:val="00846EAA"/>
    <w:rsid w:val="00847077"/>
    <w:rsid w:val="0084739E"/>
    <w:rsid w:val="0084752F"/>
    <w:rsid w:val="00847C5A"/>
    <w:rsid w:val="00847E3A"/>
    <w:rsid w:val="008500BB"/>
    <w:rsid w:val="00850A90"/>
    <w:rsid w:val="00850EDF"/>
    <w:rsid w:val="00851BD1"/>
    <w:rsid w:val="00852B1D"/>
    <w:rsid w:val="00853062"/>
    <w:rsid w:val="00853771"/>
    <w:rsid w:val="00854240"/>
    <w:rsid w:val="008544CC"/>
    <w:rsid w:val="008544FC"/>
    <w:rsid w:val="0085452E"/>
    <w:rsid w:val="00854629"/>
    <w:rsid w:val="00854C9F"/>
    <w:rsid w:val="0085519E"/>
    <w:rsid w:val="00855E19"/>
    <w:rsid w:val="00855E24"/>
    <w:rsid w:val="00855F47"/>
    <w:rsid w:val="00856615"/>
    <w:rsid w:val="00857574"/>
    <w:rsid w:val="00857E14"/>
    <w:rsid w:val="00857EBF"/>
    <w:rsid w:val="0086008E"/>
    <w:rsid w:val="008600EE"/>
    <w:rsid w:val="008603C2"/>
    <w:rsid w:val="00860952"/>
    <w:rsid w:val="0086215F"/>
    <w:rsid w:val="008621CC"/>
    <w:rsid w:val="008624FF"/>
    <w:rsid w:val="00863264"/>
    <w:rsid w:val="00863467"/>
    <w:rsid w:val="00863C61"/>
    <w:rsid w:val="008648EA"/>
    <w:rsid w:val="00865270"/>
    <w:rsid w:val="00865AB6"/>
    <w:rsid w:val="008662C5"/>
    <w:rsid w:val="00866615"/>
    <w:rsid w:val="00866E3E"/>
    <w:rsid w:val="00867785"/>
    <w:rsid w:val="00867CEC"/>
    <w:rsid w:val="00871566"/>
    <w:rsid w:val="008716EE"/>
    <w:rsid w:val="008721E9"/>
    <w:rsid w:val="008724D8"/>
    <w:rsid w:val="008724DB"/>
    <w:rsid w:val="008727D8"/>
    <w:rsid w:val="00872C6D"/>
    <w:rsid w:val="00873E35"/>
    <w:rsid w:val="00874409"/>
    <w:rsid w:val="0087472E"/>
    <w:rsid w:val="00874B8A"/>
    <w:rsid w:val="00875A67"/>
    <w:rsid w:val="00875BFF"/>
    <w:rsid w:val="00877D0A"/>
    <w:rsid w:val="0088014E"/>
    <w:rsid w:val="008807D2"/>
    <w:rsid w:val="00880BEC"/>
    <w:rsid w:val="0088195E"/>
    <w:rsid w:val="00882755"/>
    <w:rsid w:val="00882DD9"/>
    <w:rsid w:val="008834D1"/>
    <w:rsid w:val="00884798"/>
    <w:rsid w:val="008853FE"/>
    <w:rsid w:val="008859AE"/>
    <w:rsid w:val="00886418"/>
    <w:rsid w:val="0088669D"/>
    <w:rsid w:val="00886EE9"/>
    <w:rsid w:val="008870F4"/>
    <w:rsid w:val="0088714F"/>
    <w:rsid w:val="008911F5"/>
    <w:rsid w:val="0089148D"/>
    <w:rsid w:val="00891564"/>
    <w:rsid w:val="00891953"/>
    <w:rsid w:val="00892557"/>
    <w:rsid w:val="008925D4"/>
    <w:rsid w:val="00892673"/>
    <w:rsid w:val="008927A0"/>
    <w:rsid w:val="00894108"/>
    <w:rsid w:val="00894C99"/>
    <w:rsid w:val="00894ED2"/>
    <w:rsid w:val="0089500B"/>
    <w:rsid w:val="00895429"/>
    <w:rsid w:val="00895E7C"/>
    <w:rsid w:val="008964E6"/>
    <w:rsid w:val="00896888"/>
    <w:rsid w:val="00896AEE"/>
    <w:rsid w:val="008970D2"/>
    <w:rsid w:val="00897453"/>
    <w:rsid w:val="00897655"/>
    <w:rsid w:val="00897A85"/>
    <w:rsid w:val="00897C0A"/>
    <w:rsid w:val="00897EC0"/>
    <w:rsid w:val="008A0684"/>
    <w:rsid w:val="008A06AA"/>
    <w:rsid w:val="008A0723"/>
    <w:rsid w:val="008A08EC"/>
    <w:rsid w:val="008A0F54"/>
    <w:rsid w:val="008A1669"/>
    <w:rsid w:val="008A17A2"/>
    <w:rsid w:val="008A22CD"/>
    <w:rsid w:val="008A2F3A"/>
    <w:rsid w:val="008A3C9E"/>
    <w:rsid w:val="008A4158"/>
    <w:rsid w:val="008A4485"/>
    <w:rsid w:val="008A4B6B"/>
    <w:rsid w:val="008A4D07"/>
    <w:rsid w:val="008A4EED"/>
    <w:rsid w:val="008A58DC"/>
    <w:rsid w:val="008A594A"/>
    <w:rsid w:val="008A5F8F"/>
    <w:rsid w:val="008A70B5"/>
    <w:rsid w:val="008A7AF9"/>
    <w:rsid w:val="008B0006"/>
    <w:rsid w:val="008B044F"/>
    <w:rsid w:val="008B0673"/>
    <w:rsid w:val="008B094A"/>
    <w:rsid w:val="008B244B"/>
    <w:rsid w:val="008B2A8E"/>
    <w:rsid w:val="008B2B09"/>
    <w:rsid w:val="008B3A40"/>
    <w:rsid w:val="008B3A4B"/>
    <w:rsid w:val="008B3E02"/>
    <w:rsid w:val="008B434E"/>
    <w:rsid w:val="008B46F2"/>
    <w:rsid w:val="008B4A7F"/>
    <w:rsid w:val="008B4E36"/>
    <w:rsid w:val="008B5344"/>
    <w:rsid w:val="008B5381"/>
    <w:rsid w:val="008B5C28"/>
    <w:rsid w:val="008B6606"/>
    <w:rsid w:val="008B6D97"/>
    <w:rsid w:val="008B6DD7"/>
    <w:rsid w:val="008B72DB"/>
    <w:rsid w:val="008B7CB5"/>
    <w:rsid w:val="008C0534"/>
    <w:rsid w:val="008C069D"/>
    <w:rsid w:val="008C0C6C"/>
    <w:rsid w:val="008C103C"/>
    <w:rsid w:val="008C15D1"/>
    <w:rsid w:val="008C1FA1"/>
    <w:rsid w:val="008C24BB"/>
    <w:rsid w:val="008C27F9"/>
    <w:rsid w:val="008C2834"/>
    <w:rsid w:val="008C2955"/>
    <w:rsid w:val="008C338E"/>
    <w:rsid w:val="008C4467"/>
    <w:rsid w:val="008C47CA"/>
    <w:rsid w:val="008C4AAC"/>
    <w:rsid w:val="008C4AD7"/>
    <w:rsid w:val="008C582E"/>
    <w:rsid w:val="008C587A"/>
    <w:rsid w:val="008C6478"/>
    <w:rsid w:val="008C6F1D"/>
    <w:rsid w:val="008C7996"/>
    <w:rsid w:val="008C7AB2"/>
    <w:rsid w:val="008D0EA8"/>
    <w:rsid w:val="008D1028"/>
    <w:rsid w:val="008D114C"/>
    <w:rsid w:val="008D21BA"/>
    <w:rsid w:val="008D3C7D"/>
    <w:rsid w:val="008D3FB5"/>
    <w:rsid w:val="008D4330"/>
    <w:rsid w:val="008D456B"/>
    <w:rsid w:val="008D4918"/>
    <w:rsid w:val="008D49FA"/>
    <w:rsid w:val="008D5590"/>
    <w:rsid w:val="008D5C09"/>
    <w:rsid w:val="008D6346"/>
    <w:rsid w:val="008D63AF"/>
    <w:rsid w:val="008D646A"/>
    <w:rsid w:val="008D6F63"/>
    <w:rsid w:val="008D7885"/>
    <w:rsid w:val="008D7DDC"/>
    <w:rsid w:val="008E0EC6"/>
    <w:rsid w:val="008E1B9A"/>
    <w:rsid w:val="008E1C6A"/>
    <w:rsid w:val="008E27E8"/>
    <w:rsid w:val="008E2B7D"/>
    <w:rsid w:val="008E2D34"/>
    <w:rsid w:val="008E302A"/>
    <w:rsid w:val="008E4819"/>
    <w:rsid w:val="008E5422"/>
    <w:rsid w:val="008E5C3B"/>
    <w:rsid w:val="008E5DD1"/>
    <w:rsid w:val="008E643E"/>
    <w:rsid w:val="008E6CD4"/>
    <w:rsid w:val="008E7710"/>
    <w:rsid w:val="008F032C"/>
    <w:rsid w:val="008F0684"/>
    <w:rsid w:val="008F1A7A"/>
    <w:rsid w:val="008F219B"/>
    <w:rsid w:val="008F4BC9"/>
    <w:rsid w:val="008F4D57"/>
    <w:rsid w:val="008F4E08"/>
    <w:rsid w:val="008F502F"/>
    <w:rsid w:val="008F52D6"/>
    <w:rsid w:val="008F7567"/>
    <w:rsid w:val="008F75A0"/>
    <w:rsid w:val="008F79DC"/>
    <w:rsid w:val="008F7E93"/>
    <w:rsid w:val="00900648"/>
    <w:rsid w:val="00900C90"/>
    <w:rsid w:val="00901292"/>
    <w:rsid w:val="00901B62"/>
    <w:rsid w:val="00902F99"/>
    <w:rsid w:val="00902FA2"/>
    <w:rsid w:val="00903640"/>
    <w:rsid w:val="00903832"/>
    <w:rsid w:val="00903931"/>
    <w:rsid w:val="0090467E"/>
    <w:rsid w:val="009047D2"/>
    <w:rsid w:val="00904D7A"/>
    <w:rsid w:val="009051A0"/>
    <w:rsid w:val="00905263"/>
    <w:rsid w:val="0090591A"/>
    <w:rsid w:val="0090601D"/>
    <w:rsid w:val="009061E1"/>
    <w:rsid w:val="00907823"/>
    <w:rsid w:val="00907C1E"/>
    <w:rsid w:val="0091030D"/>
    <w:rsid w:val="00911C9F"/>
    <w:rsid w:val="0091275E"/>
    <w:rsid w:val="00912ACD"/>
    <w:rsid w:val="00912BE1"/>
    <w:rsid w:val="00912E48"/>
    <w:rsid w:val="00912F75"/>
    <w:rsid w:val="009135E0"/>
    <w:rsid w:val="00913CA8"/>
    <w:rsid w:val="00913FB5"/>
    <w:rsid w:val="0091443A"/>
    <w:rsid w:val="00914494"/>
    <w:rsid w:val="009145A2"/>
    <w:rsid w:val="009153F8"/>
    <w:rsid w:val="00915D55"/>
    <w:rsid w:val="00916730"/>
    <w:rsid w:val="00916F8E"/>
    <w:rsid w:val="009170F0"/>
    <w:rsid w:val="00917282"/>
    <w:rsid w:val="0091729D"/>
    <w:rsid w:val="00921120"/>
    <w:rsid w:val="0092229B"/>
    <w:rsid w:val="009225A8"/>
    <w:rsid w:val="00924635"/>
    <w:rsid w:val="0092463A"/>
    <w:rsid w:val="00924A1A"/>
    <w:rsid w:val="00924AA8"/>
    <w:rsid w:val="0092569A"/>
    <w:rsid w:val="009258B1"/>
    <w:rsid w:val="00925CBB"/>
    <w:rsid w:val="00926048"/>
    <w:rsid w:val="00926A30"/>
    <w:rsid w:val="00926A33"/>
    <w:rsid w:val="00926A4F"/>
    <w:rsid w:val="00926BF2"/>
    <w:rsid w:val="009271B6"/>
    <w:rsid w:val="009271E8"/>
    <w:rsid w:val="0092722D"/>
    <w:rsid w:val="009272AC"/>
    <w:rsid w:val="009276AC"/>
    <w:rsid w:val="009276B0"/>
    <w:rsid w:val="0092792A"/>
    <w:rsid w:val="009279C2"/>
    <w:rsid w:val="00930299"/>
    <w:rsid w:val="00930C27"/>
    <w:rsid w:val="009312B1"/>
    <w:rsid w:val="009319F3"/>
    <w:rsid w:val="00931A50"/>
    <w:rsid w:val="00931AB5"/>
    <w:rsid w:val="0093221F"/>
    <w:rsid w:val="00932F0F"/>
    <w:rsid w:val="0093361B"/>
    <w:rsid w:val="00934025"/>
    <w:rsid w:val="00934CC2"/>
    <w:rsid w:val="009353E1"/>
    <w:rsid w:val="009355AB"/>
    <w:rsid w:val="009357A9"/>
    <w:rsid w:val="009358DC"/>
    <w:rsid w:val="00936768"/>
    <w:rsid w:val="00936A0C"/>
    <w:rsid w:val="009379A4"/>
    <w:rsid w:val="00937D19"/>
    <w:rsid w:val="009405CF"/>
    <w:rsid w:val="00940F81"/>
    <w:rsid w:val="009413B3"/>
    <w:rsid w:val="00941434"/>
    <w:rsid w:val="009433F8"/>
    <w:rsid w:val="0094360E"/>
    <w:rsid w:val="00944BD1"/>
    <w:rsid w:val="00944D4E"/>
    <w:rsid w:val="00944F00"/>
    <w:rsid w:val="00944F99"/>
    <w:rsid w:val="0094542B"/>
    <w:rsid w:val="0094583B"/>
    <w:rsid w:val="00945B44"/>
    <w:rsid w:val="00946336"/>
    <w:rsid w:val="009468B3"/>
    <w:rsid w:val="00946E72"/>
    <w:rsid w:val="009475CD"/>
    <w:rsid w:val="00947657"/>
    <w:rsid w:val="00947D55"/>
    <w:rsid w:val="009501EF"/>
    <w:rsid w:val="009502ED"/>
    <w:rsid w:val="009506E5"/>
    <w:rsid w:val="00950A96"/>
    <w:rsid w:val="0095153A"/>
    <w:rsid w:val="009515DC"/>
    <w:rsid w:val="0095164B"/>
    <w:rsid w:val="009517FE"/>
    <w:rsid w:val="00951F6B"/>
    <w:rsid w:val="0095280D"/>
    <w:rsid w:val="00952C7A"/>
    <w:rsid w:val="009532D9"/>
    <w:rsid w:val="00953580"/>
    <w:rsid w:val="00953D32"/>
    <w:rsid w:val="009550F0"/>
    <w:rsid w:val="00955539"/>
    <w:rsid w:val="0095573C"/>
    <w:rsid w:val="00955DFB"/>
    <w:rsid w:val="009566F5"/>
    <w:rsid w:val="00961D77"/>
    <w:rsid w:val="00962D0A"/>
    <w:rsid w:val="00962DA3"/>
    <w:rsid w:val="009649D2"/>
    <w:rsid w:val="00964E9A"/>
    <w:rsid w:val="00965D43"/>
    <w:rsid w:val="00965D4A"/>
    <w:rsid w:val="00965D5A"/>
    <w:rsid w:val="009662AF"/>
    <w:rsid w:val="00966617"/>
    <w:rsid w:val="009670B7"/>
    <w:rsid w:val="00967E30"/>
    <w:rsid w:val="009704C8"/>
    <w:rsid w:val="00970A65"/>
    <w:rsid w:val="00970F69"/>
    <w:rsid w:val="009715A5"/>
    <w:rsid w:val="00971634"/>
    <w:rsid w:val="0097163F"/>
    <w:rsid w:val="00971771"/>
    <w:rsid w:val="0097222A"/>
    <w:rsid w:val="00972611"/>
    <w:rsid w:val="009727B4"/>
    <w:rsid w:val="009732C1"/>
    <w:rsid w:val="00973FDF"/>
    <w:rsid w:val="00974290"/>
    <w:rsid w:val="00974E14"/>
    <w:rsid w:val="00974EB6"/>
    <w:rsid w:val="0097570D"/>
    <w:rsid w:val="00976178"/>
    <w:rsid w:val="00976290"/>
    <w:rsid w:val="009777A5"/>
    <w:rsid w:val="0098024A"/>
    <w:rsid w:val="009805C2"/>
    <w:rsid w:val="00980A07"/>
    <w:rsid w:val="00980BBE"/>
    <w:rsid w:val="00980D12"/>
    <w:rsid w:val="0098117D"/>
    <w:rsid w:val="00981474"/>
    <w:rsid w:val="009839D1"/>
    <w:rsid w:val="00983F18"/>
    <w:rsid w:val="00984ED5"/>
    <w:rsid w:val="009855F8"/>
    <w:rsid w:val="00985D3D"/>
    <w:rsid w:val="0098636D"/>
    <w:rsid w:val="00986519"/>
    <w:rsid w:val="00986E7B"/>
    <w:rsid w:val="00987F97"/>
    <w:rsid w:val="00987FAA"/>
    <w:rsid w:val="009906A7"/>
    <w:rsid w:val="00990D57"/>
    <w:rsid w:val="009916DB"/>
    <w:rsid w:val="00991A45"/>
    <w:rsid w:val="00991B6B"/>
    <w:rsid w:val="0099206F"/>
    <w:rsid w:val="009926EB"/>
    <w:rsid w:val="009926F8"/>
    <w:rsid w:val="00994099"/>
    <w:rsid w:val="009944AF"/>
    <w:rsid w:val="00995CB3"/>
    <w:rsid w:val="00995D93"/>
    <w:rsid w:val="00997ECA"/>
    <w:rsid w:val="009A06D8"/>
    <w:rsid w:val="009A1CF9"/>
    <w:rsid w:val="009A1E35"/>
    <w:rsid w:val="009A25B9"/>
    <w:rsid w:val="009A26AD"/>
    <w:rsid w:val="009A2D84"/>
    <w:rsid w:val="009A351B"/>
    <w:rsid w:val="009A3B4E"/>
    <w:rsid w:val="009A3E9D"/>
    <w:rsid w:val="009A422E"/>
    <w:rsid w:val="009A517A"/>
    <w:rsid w:val="009A5792"/>
    <w:rsid w:val="009A6DDF"/>
    <w:rsid w:val="009A7368"/>
    <w:rsid w:val="009A74A1"/>
    <w:rsid w:val="009A7636"/>
    <w:rsid w:val="009A7B8A"/>
    <w:rsid w:val="009B090E"/>
    <w:rsid w:val="009B096C"/>
    <w:rsid w:val="009B0D85"/>
    <w:rsid w:val="009B113B"/>
    <w:rsid w:val="009B127E"/>
    <w:rsid w:val="009B1B5E"/>
    <w:rsid w:val="009B1FA6"/>
    <w:rsid w:val="009B2F2F"/>
    <w:rsid w:val="009B38AB"/>
    <w:rsid w:val="009B401C"/>
    <w:rsid w:val="009B47E9"/>
    <w:rsid w:val="009B61CF"/>
    <w:rsid w:val="009B61FF"/>
    <w:rsid w:val="009B6C0C"/>
    <w:rsid w:val="009B7448"/>
    <w:rsid w:val="009B7839"/>
    <w:rsid w:val="009B7C99"/>
    <w:rsid w:val="009B7E1A"/>
    <w:rsid w:val="009C0162"/>
    <w:rsid w:val="009C05FF"/>
    <w:rsid w:val="009C06C2"/>
    <w:rsid w:val="009C0875"/>
    <w:rsid w:val="009C14D7"/>
    <w:rsid w:val="009C2CAF"/>
    <w:rsid w:val="009C2F43"/>
    <w:rsid w:val="009C3306"/>
    <w:rsid w:val="009C345F"/>
    <w:rsid w:val="009C3AE8"/>
    <w:rsid w:val="009C3D97"/>
    <w:rsid w:val="009C4A1E"/>
    <w:rsid w:val="009C630D"/>
    <w:rsid w:val="009C68C3"/>
    <w:rsid w:val="009C77C7"/>
    <w:rsid w:val="009C7D71"/>
    <w:rsid w:val="009D089D"/>
    <w:rsid w:val="009D1680"/>
    <w:rsid w:val="009D1F3B"/>
    <w:rsid w:val="009D27CD"/>
    <w:rsid w:val="009D3C16"/>
    <w:rsid w:val="009D3C30"/>
    <w:rsid w:val="009D438C"/>
    <w:rsid w:val="009D4493"/>
    <w:rsid w:val="009D4939"/>
    <w:rsid w:val="009D4B05"/>
    <w:rsid w:val="009D517F"/>
    <w:rsid w:val="009D54DF"/>
    <w:rsid w:val="009D5702"/>
    <w:rsid w:val="009D634F"/>
    <w:rsid w:val="009D66FC"/>
    <w:rsid w:val="009D74C3"/>
    <w:rsid w:val="009D7556"/>
    <w:rsid w:val="009D7AEA"/>
    <w:rsid w:val="009D7F87"/>
    <w:rsid w:val="009D7F9A"/>
    <w:rsid w:val="009E0D1D"/>
    <w:rsid w:val="009E2AA6"/>
    <w:rsid w:val="009E3509"/>
    <w:rsid w:val="009E3667"/>
    <w:rsid w:val="009E3737"/>
    <w:rsid w:val="009E3E6C"/>
    <w:rsid w:val="009E4395"/>
    <w:rsid w:val="009E4CC2"/>
    <w:rsid w:val="009E53C7"/>
    <w:rsid w:val="009E5769"/>
    <w:rsid w:val="009E5938"/>
    <w:rsid w:val="009E5B51"/>
    <w:rsid w:val="009E5D14"/>
    <w:rsid w:val="009E5E40"/>
    <w:rsid w:val="009E6A53"/>
    <w:rsid w:val="009E6BCF"/>
    <w:rsid w:val="009E70E9"/>
    <w:rsid w:val="009E7A40"/>
    <w:rsid w:val="009E7E31"/>
    <w:rsid w:val="009F0176"/>
    <w:rsid w:val="009F0591"/>
    <w:rsid w:val="009F0E8B"/>
    <w:rsid w:val="009F1482"/>
    <w:rsid w:val="009F1DB7"/>
    <w:rsid w:val="009F2113"/>
    <w:rsid w:val="009F22EF"/>
    <w:rsid w:val="009F2651"/>
    <w:rsid w:val="009F27FD"/>
    <w:rsid w:val="009F452B"/>
    <w:rsid w:val="009F48F4"/>
    <w:rsid w:val="009F4DB1"/>
    <w:rsid w:val="009F54DC"/>
    <w:rsid w:val="009F5558"/>
    <w:rsid w:val="009F5E45"/>
    <w:rsid w:val="009F5F70"/>
    <w:rsid w:val="009F5FA7"/>
    <w:rsid w:val="009F62E3"/>
    <w:rsid w:val="009F651F"/>
    <w:rsid w:val="009F7079"/>
    <w:rsid w:val="009F7547"/>
    <w:rsid w:val="00A0003F"/>
    <w:rsid w:val="00A01524"/>
    <w:rsid w:val="00A02CBE"/>
    <w:rsid w:val="00A033F2"/>
    <w:rsid w:val="00A03529"/>
    <w:rsid w:val="00A037AE"/>
    <w:rsid w:val="00A039B2"/>
    <w:rsid w:val="00A03CB0"/>
    <w:rsid w:val="00A03D8A"/>
    <w:rsid w:val="00A0432E"/>
    <w:rsid w:val="00A04403"/>
    <w:rsid w:val="00A04A3C"/>
    <w:rsid w:val="00A04AD1"/>
    <w:rsid w:val="00A04E0E"/>
    <w:rsid w:val="00A04EF6"/>
    <w:rsid w:val="00A063AB"/>
    <w:rsid w:val="00A06445"/>
    <w:rsid w:val="00A06510"/>
    <w:rsid w:val="00A06784"/>
    <w:rsid w:val="00A06D53"/>
    <w:rsid w:val="00A06DCA"/>
    <w:rsid w:val="00A07567"/>
    <w:rsid w:val="00A10B48"/>
    <w:rsid w:val="00A10B5B"/>
    <w:rsid w:val="00A11242"/>
    <w:rsid w:val="00A11730"/>
    <w:rsid w:val="00A117B6"/>
    <w:rsid w:val="00A11E0D"/>
    <w:rsid w:val="00A11F0D"/>
    <w:rsid w:val="00A1240C"/>
    <w:rsid w:val="00A12552"/>
    <w:rsid w:val="00A127CE"/>
    <w:rsid w:val="00A1284E"/>
    <w:rsid w:val="00A12FCE"/>
    <w:rsid w:val="00A13508"/>
    <w:rsid w:val="00A13EAE"/>
    <w:rsid w:val="00A1445B"/>
    <w:rsid w:val="00A14661"/>
    <w:rsid w:val="00A14781"/>
    <w:rsid w:val="00A1492C"/>
    <w:rsid w:val="00A152CB"/>
    <w:rsid w:val="00A155FB"/>
    <w:rsid w:val="00A158D6"/>
    <w:rsid w:val="00A1601E"/>
    <w:rsid w:val="00A16335"/>
    <w:rsid w:val="00A1718D"/>
    <w:rsid w:val="00A174ED"/>
    <w:rsid w:val="00A17D67"/>
    <w:rsid w:val="00A20AAC"/>
    <w:rsid w:val="00A20E23"/>
    <w:rsid w:val="00A2128A"/>
    <w:rsid w:val="00A215A3"/>
    <w:rsid w:val="00A21BC5"/>
    <w:rsid w:val="00A22864"/>
    <w:rsid w:val="00A22CC0"/>
    <w:rsid w:val="00A236E0"/>
    <w:rsid w:val="00A23FAE"/>
    <w:rsid w:val="00A24775"/>
    <w:rsid w:val="00A24894"/>
    <w:rsid w:val="00A24DFB"/>
    <w:rsid w:val="00A24F08"/>
    <w:rsid w:val="00A25EB5"/>
    <w:rsid w:val="00A26ABF"/>
    <w:rsid w:val="00A26CBB"/>
    <w:rsid w:val="00A2711B"/>
    <w:rsid w:val="00A3003C"/>
    <w:rsid w:val="00A3035A"/>
    <w:rsid w:val="00A31ED1"/>
    <w:rsid w:val="00A32C87"/>
    <w:rsid w:val="00A33569"/>
    <w:rsid w:val="00A33B1F"/>
    <w:rsid w:val="00A33EEE"/>
    <w:rsid w:val="00A33F7E"/>
    <w:rsid w:val="00A3492F"/>
    <w:rsid w:val="00A3494E"/>
    <w:rsid w:val="00A34ED9"/>
    <w:rsid w:val="00A3526C"/>
    <w:rsid w:val="00A35A0D"/>
    <w:rsid w:val="00A35CD2"/>
    <w:rsid w:val="00A361FD"/>
    <w:rsid w:val="00A363F5"/>
    <w:rsid w:val="00A3695A"/>
    <w:rsid w:val="00A36E07"/>
    <w:rsid w:val="00A36FAC"/>
    <w:rsid w:val="00A3786F"/>
    <w:rsid w:val="00A37A35"/>
    <w:rsid w:val="00A40420"/>
    <w:rsid w:val="00A40D1F"/>
    <w:rsid w:val="00A411F6"/>
    <w:rsid w:val="00A416A6"/>
    <w:rsid w:val="00A419B2"/>
    <w:rsid w:val="00A41C81"/>
    <w:rsid w:val="00A430CC"/>
    <w:rsid w:val="00A43588"/>
    <w:rsid w:val="00A43ED8"/>
    <w:rsid w:val="00A44199"/>
    <w:rsid w:val="00A443C1"/>
    <w:rsid w:val="00A44524"/>
    <w:rsid w:val="00A44C36"/>
    <w:rsid w:val="00A44DC4"/>
    <w:rsid w:val="00A44F13"/>
    <w:rsid w:val="00A4518A"/>
    <w:rsid w:val="00A451AA"/>
    <w:rsid w:val="00A45205"/>
    <w:rsid w:val="00A4525C"/>
    <w:rsid w:val="00A452C6"/>
    <w:rsid w:val="00A4581D"/>
    <w:rsid w:val="00A45E9F"/>
    <w:rsid w:val="00A47E9A"/>
    <w:rsid w:val="00A47ECF"/>
    <w:rsid w:val="00A50161"/>
    <w:rsid w:val="00A50EEC"/>
    <w:rsid w:val="00A51534"/>
    <w:rsid w:val="00A51C11"/>
    <w:rsid w:val="00A51E45"/>
    <w:rsid w:val="00A535C6"/>
    <w:rsid w:val="00A53742"/>
    <w:rsid w:val="00A53A8A"/>
    <w:rsid w:val="00A5402E"/>
    <w:rsid w:val="00A5477C"/>
    <w:rsid w:val="00A548D8"/>
    <w:rsid w:val="00A54D3D"/>
    <w:rsid w:val="00A54FAE"/>
    <w:rsid w:val="00A551D6"/>
    <w:rsid w:val="00A55F92"/>
    <w:rsid w:val="00A56A26"/>
    <w:rsid w:val="00A56E7D"/>
    <w:rsid w:val="00A57546"/>
    <w:rsid w:val="00A5792F"/>
    <w:rsid w:val="00A5798B"/>
    <w:rsid w:val="00A60263"/>
    <w:rsid w:val="00A60C6B"/>
    <w:rsid w:val="00A620FE"/>
    <w:rsid w:val="00A62829"/>
    <w:rsid w:val="00A62E98"/>
    <w:rsid w:val="00A63530"/>
    <w:rsid w:val="00A6502F"/>
    <w:rsid w:val="00A65386"/>
    <w:rsid w:val="00A65533"/>
    <w:rsid w:val="00A65785"/>
    <w:rsid w:val="00A65B1F"/>
    <w:rsid w:val="00A6647B"/>
    <w:rsid w:val="00A66B5B"/>
    <w:rsid w:val="00A67C3E"/>
    <w:rsid w:val="00A70860"/>
    <w:rsid w:val="00A7126F"/>
    <w:rsid w:val="00A71442"/>
    <w:rsid w:val="00A71500"/>
    <w:rsid w:val="00A71DF0"/>
    <w:rsid w:val="00A7224D"/>
    <w:rsid w:val="00A73969"/>
    <w:rsid w:val="00A7551D"/>
    <w:rsid w:val="00A759B5"/>
    <w:rsid w:val="00A76861"/>
    <w:rsid w:val="00A7713E"/>
    <w:rsid w:val="00A77456"/>
    <w:rsid w:val="00A779DF"/>
    <w:rsid w:val="00A80C23"/>
    <w:rsid w:val="00A80E27"/>
    <w:rsid w:val="00A818ED"/>
    <w:rsid w:val="00A81B1E"/>
    <w:rsid w:val="00A8218C"/>
    <w:rsid w:val="00A82927"/>
    <w:rsid w:val="00A83068"/>
    <w:rsid w:val="00A8337A"/>
    <w:rsid w:val="00A8380D"/>
    <w:rsid w:val="00A83B5D"/>
    <w:rsid w:val="00A848B7"/>
    <w:rsid w:val="00A84984"/>
    <w:rsid w:val="00A85377"/>
    <w:rsid w:val="00A85ADC"/>
    <w:rsid w:val="00A860E3"/>
    <w:rsid w:val="00A86573"/>
    <w:rsid w:val="00A87454"/>
    <w:rsid w:val="00A8763F"/>
    <w:rsid w:val="00A8789A"/>
    <w:rsid w:val="00A90E9D"/>
    <w:rsid w:val="00A91142"/>
    <w:rsid w:val="00A9150E"/>
    <w:rsid w:val="00A9186C"/>
    <w:rsid w:val="00A91A51"/>
    <w:rsid w:val="00A9209F"/>
    <w:rsid w:val="00A92EA8"/>
    <w:rsid w:val="00A932EE"/>
    <w:rsid w:val="00A93454"/>
    <w:rsid w:val="00A9380F"/>
    <w:rsid w:val="00A938DC"/>
    <w:rsid w:val="00A93AA7"/>
    <w:rsid w:val="00A93B8B"/>
    <w:rsid w:val="00A94077"/>
    <w:rsid w:val="00A9436A"/>
    <w:rsid w:val="00A9479A"/>
    <w:rsid w:val="00A9481D"/>
    <w:rsid w:val="00A949F0"/>
    <w:rsid w:val="00A94A3B"/>
    <w:rsid w:val="00A957D3"/>
    <w:rsid w:val="00A96320"/>
    <w:rsid w:val="00A96583"/>
    <w:rsid w:val="00A968F1"/>
    <w:rsid w:val="00A96945"/>
    <w:rsid w:val="00A96D1A"/>
    <w:rsid w:val="00A96D4A"/>
    <w:rsid w:val="00A97456"/>
    <w:rsid w:val="00A97D6D"/>
    <w:rsid w:val="00AA0689"/>
    <w:rsid w:val="00AA1414"/>
    <w:rsid w:val="00AA17AE"/>
    <w:rsid w:val="00AA1A2C"/>
    <w:rsid w:val="00AA1EC2"/>
    <w:rsid w:val="00AA2B18"/>
    <w:rsid w:val="00AA3674"/>
    <w:rsid w:val="00AA3958"/>
    <w:rsid w:val="00AA3BA1"/>
    <w:rsid w:val="00AA3C7A"/>
    <w:rsid w:val="00AA3F33"/>
    <w:rsid w:val="00AA40D0"/>
    <w:rsid w:val="00AA459A"/>
    <w:rsid w:val="00AA5AD9"/>
    <w:rsid w:val="00AA5B7C"/>
    <w:rsid w:val="00AA5FD2"/>
    <w:rsid w:val="00AA66EC"/>
    <w:rsid w:val="00AA692F"/>
    <w:rsid w:val="00AA7409"/>
    <w:rsid w:val="00AA76B6"/>
    <w:rsid w:val="00AA7A80"/>
    <w:rsid w:val="00AA7D3D"/>
    <w:rsid w:val="00AB00E2"/>
    <w:rsid w:val="00AB0406"/>
    <w:rsid w:val="00AB061C"/>
    <w:rsid w:val="00AB10C9"/>
    <w:rsid w:val="00AB1A1D"/>
    <w:rsid w:val="00AB1CC6"/>
    <w:rsid w:val="00AB26F7"/>
    <w:rsid w:val="00AB280A"/>
    <w:rsid w:val="00AB29E6"/>
    <w:rsid w:val="00AB3887"/>
    <w:rsid w:val="00AB4226"/>
    <w:rsid w:val="00AB47CD"/>
    <w:rsid w:val="00AB5E12"/>
    <w:rsid w:val="00AB62A3"/>
    <w:rsid w:val="00AB781A"/>
    <w:rsid w:val="00AB7C1C"/>
    <w:rsid w:val="00AC03CB"/>
    <w:rsid w:val="00AC0B22"/>
    <w:rsid w:val="00AC13DC"/>
    <w:rsid w:val="00AC1A38"/>
    <w:rsid w:val="00AC2211"/>
    <w:rsid w:val="00AC2329"/>
    <w:rsid w:val="00AC27FF"/>
    <w:rsid w:val="00AC2F79"/>
    <w:rsid w:val="00AC3185"/>
    <w:rsid w:val="00AC352C"/>
    <w:rsid w:val="00AC3969"/>
    <w:rsid w:val="00AC3CCE"/>
    <w:rsid w:val="00AC3FE7"/>
    <w:rsid w:val="00AC42F8"/>
    <w:rsid w:val="00AC46BF"/>
    <w:rsid w:val="00AC4AC5"/>
    <w:rsid w:val="00AC56DC"/>
    <w:rsid w:val="00AC5869"/>
    <w:rsid w:val="00AC7060"/>
    <w:rsid w:val="00AC7334"/>
    <w:rsid w:val="00AC765E"/>
    <w:rsid w:val="00AD13DF"/>
    <w:rsid w:val="00AD1793"/>
    <w:rsid w:val="00AD19F3"/>
    <w:rsid w:val="00AD1A4F"/>
    <w:rsid w:val="00AD1DF6"/>
    <w:rsid w:val="00AD288B"/>
    <w:rsid w:val="00AD2C37"/>
    <w:rsid w:val="00AD2DFA"/>
    <w:rsid w:val="00AD43DC"/>
    <w:rsid w:val="00AD4E00"/>
    <w:rsid w:val="00AD51BA"/>
    <w:rsid w:val="00AD534E"/>
    <w:rsid w:val="00AD579D"/>
    <w:rsid w:val="00AD5D16"/>
    <w:rsid w:val="00AD6677"/>
    <w:rsid w:val="00AD6743"/>
    <w:rsid w:val="00AD6D97"/>
    <w:rsid w:val="00AD778C"/>
    <w:rsid w:val="00AD7C62"/>
    <w:rsid w:val="00AE11E2"/>
    <w:rsid w:val="00AE11FD"/>
    <w:rsid w:val="00AE1652"/>
    <w:rsid w:val="00AE19B1"/>
    <w:rsid w:val="00AE1A46"/>
    <w:rsid w:val="00AE1AC5"/>
    <w:rsid w:val="00AE1DBD"/>
    <w:rsid w:val="00AE35CF"/>
    <w:rsid w:val="00AE3972"/>
    <w:rsid w:val="00AE3ABA"/>
    <w:rsid w:val="00AE3E60"/>
    <w:rsid w:val="00AE4D24"/>
    <w:rsid w:val="00AE4E2A"/>
    <w:rsid w:val="00AE5748"/>
    <w:rsid w:val="00AE588C"/>
    <w:rsid w:val="00AE5FB3"/>
    <w:rsid w:val="00AE6141"/>
    <w:rsid w:val="00AE657E"/>
    <w:rsid w:val="00AE7AA8"/>
    <w:rsid w:val="00AE7FD9"/>
    <w:rsid w:val="00AF0A72"/>
    <w:rsid w:val="00AF16CA"/>
    <w:rsid w:val="00AF1907"/>
    <w:rsid w:val="00AF1E10"/>
    <w:rsid w:val="00AF205F"/>
    <w:rsid w:val="00AF2186"/>
    <w:rsid w:val="00AF307E"/>
    <w:rsid w:val="00AF3BF5"/>
    <w:rsid w:val="00AF3FE4"/>
    <w:rsid w:val="00AF413F"/>
    <w:rsid w:val="00AF4570"/>
    <w:rsid w:val="00AF678D"/>
    <w:rsid w:val="00AF6BE6"/>
    <w:rsid w:val="00AF7773"/>
    <w:rsid w:val="00AF7928"/>
    <w:rsid w:val="00B00734"/>
    <w:rsid w:val="00B0084C"/>
    <w:rsid w:val="00B01604"/>
    <w:rsid w:val="00B01D38"/>
    <w:rsid w:val="00B02342"/>
    <w:rsid w:val="00B02F5D"/>
    <w:rsid w:val="00B03A28"/>
    <w:rsid w:val="00B03DDC"/>
    <w:rsid w:val="00B03E07"/>
    <w:rsid w:val="00B04170"/>
    <w:rsid w:val="00B043DD"/>
    <w:rsid w:val="00B046B2"/>
    <w:rsid w:val="00B04B64"/>
    <w:rsid w:val="00B0510F"/>
    <w:rsid w:val="00B053E3"/>
    <w:rsid w:val="00B0566A"/>
    <w:rsid w:val="00B056A8"/>
    <w:rsid w:val="00B05CD3"/>
    <w:rsid w:val="00B05D5F"/>
    <w:rsid w:val="00B060E1"/>
    <w:rsid w:val="00B06120"/>
    <w:rsid w:val="00B0636F"/>
    <w:rsid w:val="00B06DE1"/>
    <w:rsid w:val="00B072DF"/>
    <w:rsid w:val="00B07742"/>
    <w:rsid w:val="00B077EB"/>
    <w:rsid w:val="00B07AA8"/>
    <w:rsid w:val="00B10212"/>
    <w:rsid w:val="00B11B03"/>
    <w:rsid w:val="00B1220B"/>
    <w:rsid w:val="00B12B5B"/>
    <w:rsid w:val="00B13866"/>
    <w:rsid w:val="00B14583"/>
    <w:rsid w:val="00B14709"/>
    <w:rsid w:val="00B1486D"/>
    <w:rsid w:val="00B14A31"/>
    <w:rsid w:val="00B14DD4"/>
    <w:rsid w:val="00B14F72"/>
    <w:rsid w:val="00B15032"/>
    <w:rsid w:val="00B15B03"/>
    <w:rsid w:val="00B15C16"/>
    <w:rsid w:val="00B15DD8"/>
    <w:rsid w:val="00B16245"/>
    <w:rsid w:val="00B16CE7"/>
    <w:rsid w:val="00B176DB"/>
    <w:rsid w:val="00B178C8"/>
    <w:rsid w:val="00B17F73"/>
    <w:rsid w:val="00B201DF"/>
    <w:rsid w:val="00B20B7E"/>
    <w:rsid w:val="00B217B2"/>
    <w:rsid w:val="00B21993"/>
    <w:rsid w:val="00B21C03"/>
    <w:rsid w:val="00B221E6"/>
    <w:rsid w:val="00B22489"/>
    <w:rsid w:val="00B22771"/>
    <w:rsid w:val="00B22972"/>
    <w:rsid w:val="00B22B59"/>
    <w:rsid w:val="00B22ECD"/>
    <w:rsid w:val="00B233F8"/>
    <w:rsid w:val="00B24300"/>
    <w:rsid w:val="00B24586"/>
    <w:rsid w:val="00B24614"/>
    <w:rsid w:val="00B2470F"/>
    <w:rsid w:val="00B2578C"/>
    <w:rsid w:val="00B27FE8"/>
    <w:rsid w:val="00B3003A"/>
    <w:rsid w:val="00B30290"/>
    <w:rsid w:val="00B308B9"/>
    <w:rsid w:val="00B31F45"/>
    <w:rsid w:val="00B329B3"/>
    <w:rsid w:val="00B32F1B"/>
    <w:rsid w:val="00B33458"/>
    <w:rsid w:val="00B33513"/>
    <w:rsid w:val="00B340E2"/>
    <w:rsid w:val="00B3448D"/>
    <w:rsid w:val="00B3487E"/>
    <w:rsid w:val="00B3492B"/>
    <w:rsid w:val="00B350F8"/>
    <w:rsid w:val="00B35540"/>
    <w:rsid w:val="00B35840"/>
    <w:rsid w:val="00B3628F"/>
    <w:rsid w:val="00B36AE5"/>
    <w:rsid w:val="00B371BE"/>
    <w:rsid w:val="00B3781F"/>
    <w:rsid w:val="00B37997"/>
    <w:rsid w:val="00B37BB8"/>
    <w:rsid w:val="00B4005A"/>
    <w:rsid w:val="00B4010A"/>
    <w:rsid w:val="00B4055B"/>
    <w:rsid w:val="00B4128B"/>
    <w:rsid w:val="00B4139D"/>
    <w:rsid w:val="00B4191A"/>
    <w:rsid w:val="00B41929"/>
    <w:rsid w:val="00B41DBB"/>
    <w:rsid w:val="00B42A8C"/>
    <w:rsid w:val="00B42C67"/>
    <w:rsid w:val="00B42F32"/>
    <w:rsid w:val="00B43217"/>
    <w:rsid w:val="00B43598"/>
    <w:rsid w:val="00B438BA"/>
    <w:rsid w:val="00B440DA"/>
    <w:rsid w:val="00B44917"/>
    <w:rsid w:val="00B44966"/>
    <w:rsid w:val="00B44E94"/>
    <w:rsid w:val="00B44FF9"/>
    <w:rsid w:val="00B45C0F"/>
    <w:rsid w:val="00B46C6A"/>
    <w:rsid w:val="00B46CBE"/>
    <w:rsid w:val="00B474A5"/>
    <w:rsid w:val="00B506FC"/>
    <w:rsid w:val="00B516D4"/>
    <w:rsid w:val="00B51713"/>
    <w:rsid w:val="00B51AA8"/>
    <w:rsid w:val="00B51D5E"/>
    <w:rsid w:val="00B52554"/>
    <w:rsid w:val="00B52AA6"/>
    <w:rsid w:val="00B52BF4"/>
    <w:rsid w:val="00B530DE"/>
    <w:rsid w:val="00B53A3C"/>
    <w:rsid w:val="00B53C35"/>
    <w:rsid w:val="00B53D73"/>
    <w:rsid w:val="00B53EA7"/>
    <w:rsid w:val="00B5414C"/>
    <w:rsid w:val="00B54814"/>
    <w:rsid w:val="00B55DCB"/>
    <w:rsid w:val="00B55F50"/>
    <w:rsid w:val="00B56339"/>
    <w:rsid w:val="00B563D7"/>
    <w:rsid w:val="00B5648E"/>
    <w:rsid w:val="00B570C2"/>
    <w:rsid w:val="00B575B8"/>
    <w:rsid w:val="00B57AE7"/>
    <w:rsid w:val="00B57B29"/>
    <w:rsid w:val="00B57C2C"/>
    <w:rsid w:val="00B60B8F"/>
    <w:rsid w:val="00B61665"/>
    <w:rsid w:val="00B61E02"/>
    <w:rsid w:val="00B61F70"/>
    <w:rsid w:val="00B6211E"/>
    <w:rsid w:val="00B62D2A"/>
    <w:rsid w:val="00B63060"/>
    <w:rsid w:val="00B63954"/>
    <w:rsid w:val="00B646C0"/>
    <w:rsid w:val="00B650F6"/>
    <w:rsid w:val="00B659FD"/>
    <w:rsid w:val="00B65E9D"/>
    <w:rsid w:val="00B66198"/>
    <w:rsid w:val="00B66858"/>
    <w:rsid w:val="00B66974"/>
    <w:rsid w:val="00B6739C"/>
    <w:rsid w:val="00B674B6"/>
    <w:rsid w:val="00B67928"/>
    <w:rsid w:val="00B70192"/>
    <w:rsid w:val="00B70BFE"/>
    <w:rsid w:val="00B70DB7"/>
    <w:rsid w:val="00B70DBF"/>
    <w:rsid w:val="00B735FF"/>
    <w:rsid w:val="00B73651"/>
    <w:rsid w:val="00B736FA"/>
    <w:rsid w:val="00B73CF2"/>
    <w:rsid w:val="00B74105"/>
    <w:rsid w:val="00B74A71"/>
    <w:rsid w:val="00B75D1B"/>
    <w:rsid w:val="00B76F64"/>
    <w:rsid w:val="00B76FE9"/>
    <w:rsid w:val="00B7710C"/>
    <w:rsid w:val="00B77C81"/>
    <w:rsid w:val="00B77CE9"/>
    <w:rsid w:val="00B80747"/>
    <w:rsid w:val="00B808D8"/>
    <w:rsid w:val="00B8092C"/>
    <w:rsid w:val="00B80C2E"/>
    <w:rsid w:val="00B81132"/>
    <w:rsid w:val="00B81294"/>
    <w:rsid w:val="00B8164C"/>
    <w:rsid w:val="00B8192E"/>
    <w:rsid w:val="00B8218C"/>
    <w:rsid w:val="00B82371"/>
    <w:rsid w:val="00B835A6"/>
    <w:rsid w:val="00B84795"/>
    <w:rsid w:val="00B84972"/>
    <w:rsid w:val="00B85739"/>
    <w:rsid w:val="00B86542"/>
    <w:rsid w:val="00B867DC"/>
    <w:rsid w:val="00B8684F"/>
    <w:rsid w:val="00B86BCF"/>
    <w:rsid w:val="00B871B4"/>
    <w:rsid w:val="00B8761B"/>
    <w:rsid w:val="00B879FA"/>
    <w:rsid w:val="00B87A7D"/>
    <w:rsid w:val="00B87D6C"/>
    <w:rsid w:val="00B903DA"/>
    <w:rsid w:val="00B90CD9"/>
    <w:rsid w:val="00B91176"/>
    <w:rsid w:val="00B91409"/>
    <w:rsid w:val="00B9162F"/>
    <w:rsid w:val="00B917C5"/>
    <w:rsid w:val="00B92E59"/>
    <w:rsid w:val="00B92F9D"/>
    <w:rsid w:val="00B9349A"/>
    <w:rsid w:val="00B93D1E"/>
    <w:rsid w:val="00B93E68"/>
    <w:rsid w:val="00B9446D"/>
    <w:rsid w:val="00B94C8B"/>
    <w:rsid w:val="00B94D82"/>
    <w:rsid w:val="00B954A7"/>
    <w:rsid w:val="00B957E3"/>
    <w:rsid w:val="00B95A48"/>
    <w:rsid w:val="00B95B3C"/>
    <w:rsid w:val="00B95F60"/>
    <w:rsid w:val="00B95FB7"/>
    <w:rsid w:val="00B970D3"/>
    <w:rsid w:val="00B9751D"/>
    <w:rsid w:val="00B97B03"/>
    <w:rsid w:val="00BA0FE9"/>
    <w:rsid w:val="00BA1A1C"/>
    <w:rsid w:val="00BA23AB"/>
    <w:rsid w:val="00BA2875"/>
    <w:rsid w:val="00BA28EF"/>
    <w:rsid w:val="00BA3156"/>
    <w:rsid w:val="00BA321D"/>
    <w:rsid w:val="00BA36C4"/>
    <w:rsid w:val="00BA38B1"/>
    <w:rsid w:val="00BA3DD1"/>
    <w:rsid w:val="00BA3FB0"/>
    <w:rsid w:val="00BA4A21"/>
    <w:rsid w:val="00BA502F"/>
    <w:rsid w:val="00BA53B6"/>
    <w:rsid w:val="00BA5947"/>
    <w:rsid w:val="00BA7914"/>
    <w:rsid w:val="00BA7BE6"/>
    <w:rsid w:val="00BA7FCA"/>
    <w:rsid w:val="00BB0368"/>
    <w:rsid w:val="00BB0567"/>
    <w:rsid w:val="00BB0D36"/>
    <w:rsid w:val="00BB0D72"/>
    <w:rsid w:val="00BB1BF9"/>
    <w:rsid w:val="00BB2084"/>
    <w:rsid w:val="00BB2203"/>
    <w:rsid w:val="00BB26A3"/>
    <w:rsid w:val="00BB29DA"/>
    <w:rsid w:val="00BB352F"/>
    <w:rsid w:val="00BB37E8"/>
    <w:rsid w:val="00BB3886"/>
    <w:rsid w:val="00BB3C59"/>
    <w:rsid w:val="00BB3C70"/>
    <w:rsid w:val="00BB3F39"/>
    <w:rsid w:val="00BB4BFF"/>
    <w:rsid w:val="00BB524D"/>
    <w:rsid w:val="00BB60B3"/>
    <w:rsid w:val="00BB6C2B"/>
    <w:rsid w:val="00BB6E46"/>
    <w:rsid w:val="00BB763E"/>
    <w:rsid w:val="00BB7C84"/>
    <w:rsid w:val="00BB7D26"/>
    <w:rsid w:val="00BC0ED7"/>
    <w:rsid w:val="00BC0FD0"/>
    <w:rsid w:val="00BC162D"/>
    <w:rsid w:val="00BC199E"/>
    <w:rsid w:val="00BC213B"/>
    <w:rsid w:val="00BC279C"/>
    <w:rsid w:val="00BC28A0"/>
    <w:rsid w:val="00BC3610"/>
    <w:rsid w:val="00BC406C"/>
    <w:rsid w:val="00BC4E99"/>
    <w:rsid w:val="00BC4EB1"/>
    <w:rsid w:val="00BC5A4A"/>
    <w:rsid w:val="00BC666A"/>
    <w:rsid w:val="00BC7067"/>
    <w:rsid w:val="00BC76E8"/>
    <w:rsid w:val="00BD0432"/>
    <w:rsid w:val="00BD04E9"/>
    <w:rsid w:val="00BD0C7E"/>
    <w:rsid w:val="00BD0ED7"/>
    <w:rsid w:val="00BD1CC1"/>
    <w:rsid w:val="00BD1D72"/>
    <w:rsid w:val="00BD1D77"/>
    <w:rsid w:val="00BD265E"/>
    <w:rsid w:val="00BD2A8F"/>
    <w:rsid w:val="00BD35C0"/>
    <w:rsid w:val="00BD3647"/>
    <w:rsid w:val="00BD44C1"/>
    <w:rsid w:val="00BD4993"/>
    <w:rsid w:val="00BD4AF6"/>
    <w:rsid w:val="00BD53E5"/>
    <w:rsid w:val="00BD54FA"/>
    <w:rsid w:val="00BD5658"/>
    <w:rsid w:val="00BD681C"/>
    <w:rsid w:val="00BD6CD3"/>
    <w:rsid w:val="00BD6CFC"/>
    <w:rsid w:val="00BD6E76"/>
    <w:rsid w:val="00BD7750"/>
    <w:rsid w:val="00BE02B1"/>
    <w:rsid w:val="00BE0484"/>
    <w:rsid w:val="00BE13CA"/>
    <w:rsid w:val="00BE19E8"/>
    <w:rsid w:val="00BE1C2C"/>
    <w:rsid w:val="00BE1FEE"/>
    <w:rsid w:val="00BE2B50"/>
    <w:rsid w:val="00BE39BD"/>
    <w:rsid w:val="00BE4A65"/>
    <w:rsid w:val="00BE5428"/>
    <w:rsid w:val="00BE5893"/>
    <w:rsid w:val="00BE5A44"/>
    <w:rsid w:val="00BE7713"/>
    <w:rsid w:val="00BF0068"/>
    <w:rsid w:val="00BF006C"/>
    <w:rsid w:val="00BF08DC"/>
    <w:rsid w:val="00BF09B4"/>
    <w:rsid w:val="00BF0C08"/>
    <w:rsid w:val="00BF2429"/>
    <w:rsid w:val="00BF30CD"/>
    <w:rsid w:val="00BF32BF"/>
    <w:rsid w:val="00BF3DE3"/>
    <w:rsid w:val="00BF3EE7"/>
    <w:rsid w:val="00BF40AE"/>
    <w:rsid w:val="00BF465A"/>
    <w:rsid w:val="00BF4BB7"/>
    <w:rsid w:val="00BF4D7C"/>
    <w:rsid w:val="00BF565F"/>
    <w:rsid w:val="00BF5F4D"/>
    <w:rsid w:val="00BF64F8"/>
    <w:rsid w:val="00BF6E75"/>
    <w:rsid w:val="00BF7163"/>
    <w:rsid w:val="00BF7AAD"/>
    <w:rsid w:val="00BF7C2D"/>
    <w:rsid w:val="00C0062A"/>
    <w:rsid w:val="00C01B43"/>
    <w:rsid w:val="00C01B63"/>
    <w:rsid w:val="00C01DCE"/>
    <w:rsid w:val="00C0224B"/>
    <w:rsid w:val="00C022E7"/>
    <w:rsid w:val="00C027B1"/>
    <w:rsid w:val="00C03139"/>
    <w:rsid w:val="00C035FB"/>
    <w:rsid w:val="00C037BC"/>
    <w:rsid w:val="00C038C2"/>
    <w:rsid w:val="00C03C58"/>
    <w:rsid w:val="00C0475D"/>
    <w:rsid w:val="00C04820"/>
    <w:rsid w:val="00C05D3B"/>
    <w:rsid w:val="00C05D74"/>
    <w:rsid w:val="00C0650B"/>
    <w:rsid w:val="00C06555"/>
    <w:rsid w:val="00C065CF"/>
    <w:rsid w:val="00C0782B"/>
    <w:rsid w:val="00C10213"/>
    <w:rsid w:val="00C10317"/>
    <w:rsid w:val="00C107BE"/>
    <w:rsid w:val="00C112F9"/>
    <w:rsid w:val="00C12341"/>
    <w:rsid w:val="00C12E83"/>
    <w:rsid w:val="00C1435E"/>
    <w:rsid w:val="00C146B6"/>
    <w:rsid w:val="00C147E6"/>
    <w:rsid w:val="00C14806"/>
    <w:rsid w:val="00C14B74"/>
    <w:rsid w:val="00C14DC7"/>
    <w:rsid w:val="00C15138"/>
    <w:rsid w:val="00C15710"/>
    <w:rsid w:val="00C159A2"/>
    <w:rsid w:val="00C15A44"/>
    <w:rsid w:val="00C16A42"/>
    <w:rsid w:val="00C16F08"/>
    <w:rsid w:val="00C20330"/>
    <w:rsid w:val="00C206EC"/>
    <w:rsid w:val="00C2073C"/>
    <w:rsid w:val="00C20A66"/>
    <w:rsid w:val="00C21C41"/>
    <w:rsid w:val="00C22C3E"/>
    <w:rsid w:val="00C237C7"/>
    <w:rsid w:val="00C23B0A"/>
    <w:rsid w:val="00C23EC3"/>
    <w:rsid w:val="00C24633"/>
    <w:rsid w:val="00C248BA"/>
    <w:rsid w:val="00C25075"/>
    <w:rsid w:val="00C258AD"/>
    <w:rsid w:val="00C25D42"/>
    <w:rsid w:val="00C26440"/>
    <w:rsid w:val="00C264C8"/>
    <w:rsid w:val="00C268CD"/>
    <w:rsid w:val="00C26AD3"/>
    <w:rsid w:val="00C26E77"/>
    <w:rsid w:val="00C27142"/>
    <w:rsid w:val="00C27717"/>
    <w:rsid w:val="00C27D18"/>
    <w:rsid w:val="00C303F4"/>
    <w:rsid w:val="00C31404"/>
    <w:rsid w:val="00C31ADC"/>
    <w:rsid w:val="00C31B04"/>
    <w:rsid w:val="00C329AE"/>
    <w:rsid w:val="00C32CFD"/>
    <w:rsid w:val="00C336C3"/>
    <w:rsid w:val="00C336E0"/>
    <w:rsid w:val="00C33A54"/>
    <w:rsid w:val="00C343BE"/>
    <w:rsid w:val="00C347B8"/>
    <w:rsid w:val="00C34C19"/>
    <w:rsid w:val="00C350E2"/>
    <w:rsid w:val="00C35BB5"/>
    <w:rsid w:val="00C35FFD"/>
    <w:rsid w:val="00C36081"/>
    <w:rsid w:val="00C36436"/>
    <w:rsid w:val="00C36615"/>
    <w:rsid w:val="00C36D00"/>
    <w:rsid w:val="00C36DC3"/>
    <w:rsid w:val="00C36EF0"/>
    <w:rsid w:val="00C37164"/>
    <w:rsid w:val="00C37251"/>
    <w:rsid w:val="00C37EA0"/>
    <w:rsid w:val="00C4049A"/>
    <w:rsid w:val="00C4073D"/>
    <w:rsid w:val="00C40CE0"/>
    <w:rsid w:val="00C41498"/>
    <w:rsid w:val="00C426D2"/>
    <w:rsid w:val="00C42CA0"/>
    <w:rsid w:val="00C43D1A"/>
    <w:rsid w:val="00C45C43"/>
    <w:rsid w:val="00C467AB"/>
    <w:rsid w:val="00C46B18"/>
    <w:rsid w:val="00C47256"/>
    <w:rsid w:val="00C4778C"/>
    <w:rsid w:val="00C51EC3"/>
    <w:rsid w:val="00C521BB"/>
    <w:rsid w:val="00C527C3"/>
    <w:rsid w:val="00C531F4"/>
    <w:rsid w:val="00C538AB"/>
    <w:rsid w:val="00C53B5B"/>
    <w:rsid w:val="00C5492F"/>
    <w:rsid w:val="00C5498C"/>
    <w:rsid w:val="00C55C68"/>
    <w:rsid w:val="00C55E67"/>
    <w:rsid w:val="00C5680F"/>
    <w:rsid w:val="00C56CF7"/>
    <w:rsid w:val="00C56DB6"/>
    <w:rsid w:val="00C57EED"/>
    <w:rsid w:val="00C606E4"/>
    <w:rsid w:val="00C60E6A"/>
    <w:rsid w:val="00C61015"/>
    <w:rsid w:val="00C6105A"/>
    <w:rsid w:val="00C610F5"/>
    <w:rsid w:val="00C61271"/>
    <w:rsid w:val="00C615DD"/>
    <w:rsid w:val="00C617AF"/>
    <w:rsid w:val="00C620E5"/>
    <w:rsid w:val="00C6237D"/>
    <w:rsid w:val="00C62A72"/>
    <w:rsid w:val="00C62D29"/>
    <w:rsid w:val="00C63288"/>
    <w:rsid w:val="00C639A2"/>
    <w:rsid w:val="00C63DD7"/>
    <w:rsid w:val="00C645C5"/>
    <w:rsid w:val="00C64C91"/>
    <w:rsid w:val="00C65339"/>
    <w:rsid w:val="00C657A8"/>
    <w:rsid w:val="00C66B12"/>
    <w:rsid w:val="00C6715F"/>
    <w:rsid w:val="00C67298"/>
    <w:rsid w:val="00C67825"/>
    <w:rsid w:val="00C67A25"/>
    <w:rsid w:val="00C70471"/>
    <w:rsid w:val="00C70717"/>
    <w:rsid w:val="00C70989"/>
    <w:rsid w:val="00C70998"/>
    <w:rsid w:val="00C71A30"/>
    <w:rsid w:val="00C71DC5"/>
    <w:rsid w:val="00C72164"/>
    <w:rsid w:val="00C7457F"/>
    <w:rsid w:val="00C74805"/>
    <w:rsid w:val="00C7487B"/>
    <w:rsid w:val="00C755C6"/>
    <w:rsid w:val="00C755EA"/>
    <w:rsid w:val="00C76F28"/>
    <w:rsid w:val="00C77861"/>
    <w:rsid w:val="00C77E26"/>
    <w:rsid w:val="00C77F94"/>
    <w:rsid w:val="00C80AD4"/>
    <w:rsid w:val="00C80BD4"/>
    <w:rsid w:val="00C80C48"/>
    <w:rsid w:val="00C80F26"/>
    <w:rsid w:val="00C81235"/>
    <w:rsid w:val="00C814ED"/>
    <w:rsid w:val="00C819B4"/>
    <w:rsid w:val="00C81E4A"/>
    <w:rsid w:val="00C820F2"/>
    <w:rsid w:val="00C8289C"/>
    <w:rsid w:val="00C83005"/>
    <w:rsid w:val="00C83083"/>
    <w:rsid w:val="00C83335"/>
    <w:rsid w:val="00C8342C"/>
    <w:rsid w:val="00C840E2"/>
    <w:rsid w:val="00C85FD8"/>
    <w:rsid w:val="00C87929"/>
    <w:rsid w:val="00C9001B"/>
    <w:rsid w:val="00C91A92"/>
    <w:rsid w:val="00C9224E"/>
    <w:rsid w:val="00C92583"/>
    <w:rsid w:val="00C93A49"/>
    <w:rsid w:val="00C94401"/>
    <w:rsid w:val="00C94450"/>
    <w:rsid w:val="00C95161"/>
    <w:rsid w:val="00C958CB"/>
    <w:rsid w:val="00C9747D"/>
    <w:rsid w:val="00C97660"/>
    <w:rsid w:val="00C979DE"/>
    <w:rsid w:val="00C97D86"/>
    <w:rsid w:val="00C97FD9"/>
    <w:rsid w:val="00CA0EE6"/>
    <w:rsid w:val="00CA1371"/>
    <w:rsid w:val="00CA1466"/>
    <w:rsid w:val="00CA187D"/>
    <w:rsid w:val="00CA1A0E"/>
    <w:rsid w:val="00CA20F0"/>
    <w:rsid w:val="00CA2910"/>
    <w:rsid w:val="00CA45EE"/>
    <w:rsid w:val="00CA4D25"/>
    <w:rsid w:val="00CA62B2"/>
    <w:rsid w:val="00CA6F67"/>
    <w:rsid w:val="00CB01A4"/>
    <w:rsid w:val="00CB0AF8"/>
    <w:rsid w:val="00CB122B"/>
    <w:rsid w:val="00CB1A88"/>
    <w:rsid w:val="00CB279D"/>
    <w:rsid w:val="00CB2AAA"/>
    <w:rsid w:val="00CB3AB2"/>
    <w:rsid w:val="00CB4276"/>
    <w:rsid w:val="00CB4597"/>
    <w:rsid w:val="00CB5AF5"/>
    <w:rsid w:val="00CB5CCB"/>
    <w:rsid w:val="00CB6C6D"/>
    <w:rsid w:val="00CB7119"/>
    <w:rsid w:val="00CC01C9"/>
    <w:rsid w:val="00CC023E"/>
    <w:rsid w:val="00CC0B73"/>
    <w:rsid w:val="00CC0BCC"/>
    <w:rsid w:val="00CC0F4C"/>
    <w:rsid w:val="00CC1471"/>
    <w:rsid w:val="00CC1507"/>
    <w:rsid w:val="00CC1528"/>
    <w:rsid w:val="00CC1DC5"/>
    <w:rsid w:val="00CC2064"/>
    <w:rsid w:val="00CC25B5"/>
    <w:rsid w:val="00CC2CDA"/>
    <w:rsid w:val="00CC315D"/>
    <w:rsid w:val="00CC48C4"/>
    <w:rsid w:val="00CC51F9"/>
    <w:rsid w:val="00CC5443"/>
    <w:rsid w:val="00CC5DD3"/>
    <w:rsid w:val="00CC61B2"/>
    <w:rsid w:val="00CC7341"/>
    <w:rsid w:val="00CC76C1"/>
    <w:rsid w:val="00CD00AF"/>
    <w:rsid w:val="00CD026F"/>
    <w:rsid w:val="00CD03CC"/>
    <w:rsid w:val="00CD098D"/>
    <w:rsid w:val="00CD09FD"/>
    <w:rsid w:val="00CD0D79"/>
    <w:rsid w:val="00CD0E18"/>
    <w:rsid w:val="00CD16E6"/>
    <w:rsid w:val="00CD2A83"/>
    <w:rsid w:val="00CD2CB0"/>
    <w:rsid w:val="00CD3C69"/>
    <w:rsid w:val="00CD4478"/>
    <w:rsid w:val="00CD4503"/>
    <w:rsid w:val="00CD4BD0"/>
    <w:rsid w:val="00CD4E2C"/>
    <w:rsid w:val="00CD539F"/>
    <w:rsid w:val="00CD5DD1"/>
    <w:rsid w:val="00CD61C3"/>
    <w:rsid w:val="00CD64CA"/>
    <w:rsid w:val="00CD6937"/>
    <w:rsid w:val="00CD6F23"/>
    <w:rsid w:val="00CD7324"/>
    <w:rsid w:val="00CD7330"/>
    <w:rsid w:val="00CD7CAC"/>
    <w:rsid w:val="00CD7E06"/>
    <w:rsid w:val="00CD7F7D"/>
    <w:rsid w:val="00CE05A8"/>
    <w:rsid w:val="00CE0AFE"/>
    <w:rsid w:val="00CE25A4"/>
    <w:rsid w:val="00CE3776"/>
    <w:rsid w:val="00CE3B81"/>
    <w:rsid w:val="00CE3BFF"/>
    <w:rsid w:val="00CE42A7"/>
    <w:rsid w:val="00CE4369"/>
    <w:rsid w:val="00CE513F"/>
    <w:rsid w:val="00CE5AF2"/>
    <w:rsid w:val="00CE5CC5"/>
    <w:rsid w:val="00CE6E00"/>
    <w:rsid w:val="00CE6F3C"/>
    <w:rsid w:val="00CE7317"/>
    <w:rsid w:val="00CE761D"/>
    <w:rsid w:val="00CE7698"/>
    <w:rsid w:val="00CE78EC"/>
    <w:rsid w:val="00CF0201"/>
    <w:rsid w:val="00CF0402"/>
    <w:rsid w:val="00CF0DC3"/>
    <w:rsid w:val="00CF0E81"/>
    <w:rsid w:val="00CF17C2"/>
    <w:rsid w:val="00CF2956"/>
    <w:rsid w:val="00CF2A90"/>
    <w:rsid w:val="00CF2EAD"/>
    <w:rsid w:val="00CF3102"/>
    <w:rsid w:val="00CF3A6C"/>
    <w:rsid w:val="00CF3D0B"/>
    <w:rsid w:val="00CF4448"/>
    <w:rsid w:val="00CF45BD"/>
    <w:rsid w:val="00CF54DD"/>
    <w:rsid w:val="00CF56AA"/>
    <w:rsid w:val="00CF5C1C"/>
    <w:rsid w:val="00CF68ED"/>
    <w:rsid w:val="00CF692E"/>
    <w:rsid w:val="00CF73F0"/>
    <w:rsid w:val="00CF7559"/>
    <w:rsid w:val="00CF75BB"/>
    <w:rsid w:val="00CF76DC"/>
    <w:rsid w:val="00CF7825"/>
    <w:rsid w:val="00CF7A57"/>
    <w:rsid w:val="00CF7DD0"/>
    <w:rsid w:val="00D0016D"/>
    <w:rsid w:val="00D00F01"/>
    <w:rsid w:val="00D01920"/>
    <w:rsid w:val="00D019CE"/>
    <w:rsid w:val="00D03C63"/>
    <w:rsid w:val="00D0404B"/>
    <w:rsid w:val="00D04722"/>
    <w:rsid w:val="00D054CE"/>
    <w:rsid w:val="00D05EAA"/>
    <w:rsid w:val="00D05F3C"/>
    <w:rsid w:val="00D06B64"/>
    <w:rsid w:val="00D06F7B"/>
    <w:rsid w:val="00D07A35"/>
    <w:rsid w:val="00D10E5F"/>
    <w:rsid w:val="00D113E7"/>
    <w:rsid w:val="00D11981"/>
    <w:rsid w:val="00D11EC6"/>
    <w:rsid w:val="00D12572"/>
    <w:rsid w:val="00D129EE"/>
    <w:rsid w:val="00D13505"/>
    <w:rsid w:val="00D14DF7"/>
    <w:rsid w:val="00D1510B"/>
    <w:rsid w:val="00D154AA"/>
    <w:rsid w:val="00D1559B"/>
    <w:rsid w:val="00D1721B"/>
    <w:rsid w:val="00D219B7"/>
    <w:rsid w:val="00D21C4A"/>
    <w:rsid w:val="00D21D03"/>
    <w:rsid w:val="00D226E7"/>
    <w:rsid w:val="00D22DB4"/>
    <w:rsid w:val="00D23DBE"/>
    <w:rsid w:val="00D245D3"/>
    <w:rsid w:val="00D249AF"/>
    <w:rsid w:val="00D24CF5"/>
    <w:rsid w:val="00D25979"/>
    <w:rsid w:val="00D25AAB"/>
    <w:rsid w:val="00D25EFA"/>
    <w:rsid w:val="00D25FDF"/>
    <w:rsid w:val="00D2612A"/>
    <w:rsid w:val="00D26EE2"/>
    <w:rsid w:val="00D27959"/>
    <w:rsid w:val="00D30567"/>
    <w:rsid w:val="00D31382"/>
    <w:rsid w:val="00D31E08"/>
    <w:rsid w:val="00D32572"/>
    <w:rsid w:val="00D3260A"/>
    <w:rsid w:val="00D32AAE"/>
    <w:rsid w:val="00D32B96"/>
    <w:rsid w:val="00D32C9F"/>
    <w:rsid w:val="00D35750"/>
    <w:rsid w:val="00D35C04"/>
    <w:rsid w:val="00D35D61"/>
    <w:rsid w:val="00D35F04"/>
    <w:rsid w:val="00D36009"/>
    <w:rsid w:val="00D36CF9"/>
    <w:rsid w:val="00D373FA"/>
    <w:rsid w:val="00D37482"/>
    <w:rsid w:val="00D402A8"/>
    <w:rsid w:val="00D408D5"/>
    <w:rsid w:val="00D40A96"/>
    <w:rsid w:val="00D40FAC"/>
    <w:rsid w:val="00D41189"/>
    <w:rsid w:val="00D42964"/>
    <w:rsid w:val="00D42D9A"/>
    <w:rsid w:val="00D4338E"/>
    <w:rsid w:val="00D43760"/>
    <w:rsid w:val="00D43DED"/>
    <w:rsid w:val="00D43DFD"/>
    <w:rsid w:val="00D44843"/>
    <w:rsid w:val="00D455ED"/>
    <w:rsid w:val="00D45752"/>
    <w:rsid w:val="00D45CA4"/>
    <w:rsid w:val="00D45E13"/>
    <w:rsid w:val="00D464F8"/>
    <w:rsid w:val="00D4756F"/>
    <w:rsid w:val="00D477E2"/>
    <w:rsid w:val="00D47A0A"/>
    <w:rsid w:val="00D47F62"/>
    <w:rsid w:val="00D50211"/>
    <w:rsid w:val="00D50DA8"/>
    <w:rsid w:val="00D51519"/>
    <w:rsid w:val="00D519E8"/>
    <w:rsid w:val="00D51A1C"/>
    <w:rsid w:val="00D51C34"/>
    <w:rsid w:val="00D52FBF"/>
    <w:rsid w:val="00D530A3"/>
    <w:rsid w:val="00D53785"/>
    <w:rsid w:val="00D540B0"/>
    <w:rsid w:val="00D540C4"/>
    <w:rsid w:val="00D54B34"/>
    <w:rsid w:val="00D54FBC"/>
    <w:rsid w:val="00D5554A"/>
    <w:rsid w:val="00D5556F"/>
    <w:rsid w:val="00D55C51"/>
    <w:rsid w:val="00D563B1"/>
    <w:rsid w:val="00D56A51"/>
    <w:rsid w:val="00D56E83"/>
    <w:rsid w:val="00D56F92"/>
    <w:rsid w:val="00D56F99"/>
    <w:rsid w:val="00D57775"/>
    <w:rsid w:val="00D57844"/>
    <w:rsid w:val="00D5795B"/>
    <w:rsid w:val="00D60070"/>
    <w:rsid w:val="00D60D82"/>
    <w:rsid w:val="00D62171"/>
    <w:rsid w:val="00D646EE"/>
    <w:rsid w:val="00D647F6"/>
    <w:rsid w:val="00D65583"/>
    <w:rsid w:val="00D66050"/>
    <w:rsid w:val="00D66AB6"/>
    <w:rsid w:val="00D66E14"/>
    <w:rsid w:val="00D677DF"/>
    <w:rsid w:val="00D679B2"/>
    <w:rsid w:val="00D67D8A"/>
    <w:rsid w:val="00D67F8D"/>
    <w:rsid w:val="00D7010C"/>
    <w:rsid w:val="00D7063C"/>
    <w:rsid w:val="00D7157D"/>
    <w:rsid w:val="00D71B89"/>
    <w:rsid w:val="00D71D51"/>
    <w:rsid w:val="00D72711"/>
    <w:rsid w:val="00D72C7C"/>
    <w:rsid w:val="00D73333"/>
    <w:rsid w:val="00D7412C"/>
    <w:rsid w:val="00D74522"/>
    <w:rsid w:val="00D76599"/>
    <w:rsid w:val="00D775B7"/>
    <w:rsid w:val="00D7798B"/>
    <w:rsid w:val="00D80A9B"/>
    <w:rsid w:val="00D810CB"/>
    <w:rsid w:val="00D8168C"/>
    <w:rsid w:val="00D81A68"/>
    <w:rsid w:val="00D81FE8"/>
    <w:rsid w:val="00D824B0"/>
    <w:rsid w:val="00D828C2"/>
    <w:rsid w:val="00D83277"/>
    <w:rsid w:val="00D838CD"/>
    <w:rsid w:val="00D83B13"/>
    <w:rsid w:val="00D8422B"/>
    <w:rsid w:val="00D84DCF"/>
    <w:rsid w:val="00D855FB"/>
    <w:rsid w:val="00D861C1"/>
    <w:rsid w:val="00D87995"/>
    <w:rsid w:val="00D9004C"/>
    <w:rsid w:val="00D906A1"/>
    <w:rsid w:val="00D90B12"/>
    <w:rsid w:val="00D916B9"/>
    <w:rsid w:val="00D91D10"/>
    <w:rsid w:val="00D91F90"/>
    <w:rsid w:val="00D932C2"/>
    <w:rsid w:val="00D93C5A"/>
    <w:rsid w:val="00D94289"/>
    <w:rsid w:val="00D948EC"/>
    <w:rsid w:val="00D94DF1"/>
    <w:rsid w:val="00D94E3F"/>
    <w:rsid w:val="00D955F1"/>
    <w:rsid w:val="00D95C6F"/>
    <w:rsid w:val="00D95F22"/>
    <w:rsid w:val="00D965BC"/>
    <w:rsid w:val="00D96F1E"/>
    <w:rsid w:val="00D96FB9"/>
    <w:rsid w:val="00D97132"/>
    <w:rsid w:val="00D979FD"/>
    <w:rsid w:val="00D97C93"/>
    <w:rsid w:val="00D97FE0"/>
    <w:rsid w:val="00DA04B6"/>
    <w:rsid w:val="00DA0639"/>
    <w:rsid w:val="00DA06E5"/>
    <w:rsid w:val="00DA0E78"/>
    <w:rsid w:val="00DA0ED6"/>
    <w:rsid w:val="00DA1151"/>
    <w:rsid w:val="00DA1469"/>
    <w:rsid w:val="00DA1A54"/>
    <w:rsid w:val="00DA1CDD"/>
    <w:rsid w:val="00DA2080"/>
    <w:rsid w:val="00DA273D"/>
    <w:rsid w:val="00DA27F9"/>
    <w:rsid w:val="00DA3554"/>
    <w:rsid w:val="00DA35A0"/>
    <w:rsid w:val="00DA4B3D"/>
    <w:rsid w:val="00DA4B59"/>
    <w:rsid w:val="00DA5A09"/>
    <w:rsid w:val="00DA68F1"/>
    <w:rsid w:val="00DA7227"/>
    <w:rsid w:val="00DA7465"/>
    <w:rsid w:val="00DA7B05"/>
    <w:rsid w:val="00DA7DD9"/>
    <w:rsid w:val="00DB030B"/>
    <w:rsid w:val="00DB05E9"/>
    <w:rsid w:val="00DB0DE1"/>
    <w:rsid w:val="00DB13D4"/>
    <w:rsid w:val="00DB15BC"/>
    <w:rsid w:val="00DB1801"/>
    <w:rsid w:val="00DB22FA"/>
    <w:rsid w:val="00DB237A"/>
    <w:rsid w:val="00DB2B66"/>
    <w:rsid w:val="00DB2FEB"/>
    <w:rsid w:val="00DB3A80"/>
    <w:rsid w:val="00DB3C6E"/>
    <w:rsid w:val="00DB4423"/>
    <w:rsid w:val="00DB4754"/>
    <w:rsid w:val="00DB555C"/>
    <w:rsid w:val="00DB557F"/>
    <w:rsid w:val="00DB5A0F"/>
    <w:rsid w:val="00DB605C"/>
    <w:rsid w:val="00DB63EF"/>
    <w:rsid w:val="00DB707F"/>
    <w:rsid w:val="00DC02AB"/>
    <w:rsid w:val="00DC0FF3"/>
    <w:rsid w:val="00DC1592"/>
    <w:rsid w:val="00DC171E"/>
    <w:rsid w:val="00DC25B7"/>
    <w:rsid w:val="00DC2605"/>
    <w:rsid w:val="00DC2DE8"/>
    <w:rsid w:val="00DC4089"/>
    <w:rsid w:val="00DC4806"/>
    <w:rsid w:val="00DC58E7"/>
    <w:rsid w:val="00DC5A4C"/>
    <w:rsid w:val="00DC7719"/>
    <w:rsid w:val="00DC77B9"/>
    <w:rsid w:val="00DC783F"/>
    <w:rsid w:val="00DC7B90"/>
    <w:rsid w:val="00DD0871"/>
    <w:rsid w:val="00DD0E83"/>
    <w:rsid w:val="00DD313E"/>
    <w:rsid w:val="00DD3954"/>
    <w:rsid w:val="00DD47A4"/>
    <w:rsid w:val="00DD4D2D"/>
    <w:rsid w:val="00DD5257"/>
    <w:rsid w:val="00DD5409"/>
    <w:rsid w:val="00DD5DBB"/>
    <w:rsid w:val="00DD6912"/>
    <w:rsid w:val="00DD7201"/>
    <w:rsid w:val="00DD74C6"/>
    <w:rsid w:val="00DD7961"/>
    <w:rsid w:val="00DD7E3B"/>
    <w:rsid w:val="00DE0265"/>
    <w:rsid w:val="00DE0C7C"/>
    <w:rsid w:val="00DE0EDF"/>
    <w:rsid w:val="00DE0EE4"/>
    <w:rsid w:val="00DE180B"/>
    <w:rsid w:val="00DE1C09"/>
    <w:rsid w:val="00DE33C3"/>
    <w:rsid w:val="00DE3755"/>
    <w:rsid w:val="00DE3A7B"/>
    <w:rsid w:val="00DE3E20"/>
    <w:rsid w:val="00DE3E88"/>
    <w:rsid w:val="00DE3FD9"/>
    <w:rsid w:val="00DE445D"/>
    <w:rsid w:val="00DE4580"/>
    <w:rsid w:val="00DE5003"/>
    <w:rsid w:val="00DE5249"/>
    <w:rsid w:val="00DE580A"/>
    <w:rsid w:val="00DE5F72"/>
    <w:rsid w:val="00DE632B"/>
    <w:rsid w:val="00DE6EF1"/>
    <w:rsid w:val="00DE737A"/>
    <w:rsid w:val="00DE749A"/>
    <w:rsid w:val="00DE77B1"/>
    <w:rsid w:val="00DE7F55"/>
    <w:rsid w:val="00DE7F85"/>
    <w:rsid w:val="00DF09F9"/>
    <w:rsid w:val="00DF0A97"/>
    <w:rsid w:val="00DF10F3"/>
    <w:rsid w:val="00DF131D"/>
    <w:rsid w:val="00DF166B"/>
    <w:rsid w:val="00DF1778"/>
    <w:rsid w:val="00DF1D01"/>
    <w:rsid w:val="00DF1D6C"/>
    <w:rsid w:val="00DF268B"/>
    <w:rsid w:val="00DF2B50"/>
    <w:rsid w:val="00DF41A4"/>
    <w:rsid w:val="00DF4665"/>
    <w:rsid w:val="00DF4B0D"/>
    <w:rsid w:val="00DF4C1E"/>
    <w:rsid w:val="00DF4F39"/>
    <w:rsid w:val="00DF504D"/>
    <w:rsid w:val="00DF530A"/>
    <w:rsid w:val="00DF5554"/>
    <w:rsid w:val="00DF613F"/>
    <w:rsid w:val="00DF637B"/>
    <w:rsid w:val="00DF6816"/>
    <w:rsid w:val="00DF692D"/>
    <w:rsid w:val="00DF694E"/>
    <w:rsid w:val="00DF737A"/>
    <w:rsid w:val="00E002CF"/>
    <w:rsid w:val="00E0037E"/>
    <w:rsid w:val="00E00502"/>
    <w:rsid w:val="00E00692"/>
    <w:rsid w:val="00E00976"/>
    <w:rsid w:val="00E00CD4"/>
    <w:rsid w:val="00E01CB8"/>
    <w:rsid w:val="00E02281"/>
    <w:rsid w:val="00E02B5F"/>
    <w:rsid w:val="00E02FA4"/>
    <w:rsid w:val="00E02FDC"/>
    <w:rsid w:val="00E03C7A"/>
    <w:rsid w:val="00E0439D"/>
    <w:rsid w:val="00E0474E"/>
    <w:rsid w:val="00E056CB"/>
    <w:rsid w:val="00E05DF7"/>
    <w:rsid w:val="00E061D6"/>
    <w:rsid w:val="00E063B0"/>
    <w:rsid w:val="00E079F8"/>
    <w:rsid w:val="00E07ED3"/>
    <w:rsid w:val="00E102E4"/>
    <w:rsid w:val="00E1047F"/>
    <w:rsid w:val="00E11FA9"/>
    <w:rsid w:val="00E123A5"/>
    <w:rsid w:val="00E12D36"/>
    <w:rsid w:val="00E13EC7"/>
    <w:rsid w:val="00E14FD3"/>
    <w:rsid w:val="00E15512"/>
    <w:rsid w:val="00E1693F"/>
    <w:rsid w:val="00E17285"/>
    <w:rsid w:val="00E175BA"/>
    <w:rsid w:val="00E2079B"/>
    <w:rsid w:val="00E209FD"/>
    <w:rsid w:val="00E20A4D"/>
    <w:rsid w:val="00E20FEC"/>
    <w:rsid w:val="00E21883"/>
    <w:rsid w:val="00E22B51"/>
    <w:rsid w:val="00E2387A"/>
    <w:rsid w:val="00E2397D"/>
    <w:rsid w:val="00E23A15"/>
    <w:rsid w:val="00E24EA1"/>
    <w:rsid w:val="00E25A07"/>
    <w:rsid w:val="00E25BB8"/>
    <w:rsid w:val="00E25E61"/>
    <w:rsid w:val="00E26C36"/>
    <w:rsid w:val="00E27FEC"/>
    <w:rsid w:val="00E30B73"/>
    <w:rsid w:val="00E30D3E"/>
    <w:rsid w:val="00E30EB9"/>
    <w:rsid w:val="00E3131D"/>
    <w:rsid w:val="00E313B6"/>
    <w:rsid w:val="00E31743"/>
    <w:rsid w:val="00E31CFA"/>
    <w:rsid w:val="00E32460"/>
    <w:rsid w:val="00E325F6"/>
    <w:rsid w:val="00E33760"/>
    <w:rsid w:val="00E337B6"/>
    <w:rsid w:val="00E33E0C"/>
    <w:rsid w:val="00E33E81"/>
    <w:rsid w:val="00E34D5E"/>
    <w:rsid w:val="00E35054"/>
    <w:rsid w:val="00E359D7"/>
    <w:rsid w:val="00E35AE6"/>
    <w:rsid w:val="00E3642F"/>
    <w:rsid w:val="00E36FFE"/>
    <w:rsid w:val="00E37293"/>
    <w:rsid w:val="00E3787C"/>
    <w:rsid w:val="00E37EEB"/>
    <w:rsid w:val="00E4036F"/>
    <w:rsid w:val="00E406BD"/>
    <w:rsid w:val="00E40967"/>
    <w:rsid w:val="00E40B32"/>
    <w:rsid w:val="00E4128D"/>
    <w:rsid w:val="00E416DA"/>
    <w:rsid w:val="00E419E6"/>
    <w:rsid w:val="00E41DAA"/>
    <w:rsid w:val="00E42A12"/>
    <w:rsid w:val="00E42E59"/>
    <w:rsid w:val="00E434D5"/>
    <w:rsid w:val="00E4386D"/>
    <w:rsid w:val="00E43A41"/>
    <w:rsid w:val="00E43D8F"/>
    <w:rsid w:val="00E44338"/>
    <w:rsid w:val="00E44430"/>
    <w:rsid w:val="00E444D2"/>
    <w:rsid w:val="00E44B29"/>
    <w:rsid w:val="00E45637"/>
    <w:rsid w:val="00E45C38"/>
    <w:rsid w:val="00E46019"/>
    <w:rsid w:val="00E46B63"/>
    <w:rsid w:val="00E47561"/>
    <w:rsid w:val="00E50991"/>
    <w:rsid w:val="00E509A6"/>
    <w:rsid w:val="00E50C73"/>
    <w:rsid w:val="00E515E1"/>
    <w:rsid w:val="00E51DFF"/>
    <w:rsid w:val="00E5250C"/>
    <w:rsid w:val="00E52606"/>
    <w:rsid w:val="00E5263F"/>
    <w:rsid w:val="00E52CAD"/>
    <w:rsid w:val="00E52F96"/>
    <w:rsid w:val="00E537AE"/>
    <w:rsid w:val="00E53C5D"/>
    <w:rsid w:val="00E5410B"/>
    <w:rsid w:val="00E544ED"/>
    <w:rsid w:val="00E546BA"/>
    <w:rsid w:val="00E5511D"/>
    <w:rsid w:val="00E55A25"/>
    <w:rsid w:val="00E55DEA"/>
    <w:rsid w:val="00E55E7F"/>
    <w:rsid w:val="00E563B0"/>
    <w:rsid w:val="00E56683"/>
    <w:rsid w:val="00E569C2"/>
    <w:rsid w:val="00E56D2E"/>
    <w:rsid w:val="00E57681"/>
    <w:rsid w:val="00E607EB"/>
    <w:rsid w:val="00E60BC6"/>
    <w:rsid w:val="00E62C38"/>
    <w:rsid w:val="00E63AB9"/>
    <w:rsid w:val="00E63CC5"/>
    <w:rsid w:val="00E64ECA"/>
    <w:rsid w:val="00E65429"/>
    <w:rsid w:val="00E65843"/>
    <w:rsid w:val="00E65982"/>
    <w:rsid w:val="00E65C1F"/>
    <w:rsid w:val="00E66329"/>
    <w:rsid w:val="00E664C4"/>
    <w:rsid w:val="00E66937"/>
    <w:rsid w:val="00E66F43"/>
    <w:rsid w:val="00E671AF"/>
    <w:rsid w:val="00E67200"/>
    <w:rsid w:val="00E67B24"/>
    <w:rsid w:val="00E706B1"/>
    <w:rsid w:val="00E70A3F"/>
    <w:rsid w:val="00E70A57"/>
    <w:rsid w:val="00E711A5"/>
    <w:rsid w:val="00E71236"/>
    <w:rsid w:val="00E7146B"/>
    <w:rsid w:val="00E7153C"/>
    <w:rsid w:val="00E7156B"/>
    <w:rsid w:val="00E71C0A"/>
    <w:rsid w:val="00E71D95"/>
    <w:rsid w:val="00E71F13"/>
    <w:rsid w:val="00E723E6"/>
    <w:rsid w:val="00E7247A"/>
    <w:rsid w:val="00E7271C"/>
    <w:rsid w:val="00E72F9C"/>
    <w:rsid w:val="00E7338B"/>
    <w:rsid w:val="00E73D49"/>
    <w:rsid w:val="00E73DB1"/>
    <w:rsid w:val="00E74346"/>
    <w:rsid w:val="00E74E45"/>
    <w:rsid w:val="00E750E3"/>
    <w:rsid w:val="00E75231"/>
    <w:rsid w:val="00E75D40"/>
    <w:rsid w:val="00E75E40"/>
    <w:rsid w:val="00E75E4C"/>
    <w:rsid w:val="00E76E97"/>
    <w:rsid w:val="00E7713D"/>
    <w:rsid w:val="00E77987"/>
    <w:rsid w:val="00E779B1"/>
    <w:rsid w:val="00E80FAF"/>
    <w:rsid w:val="00E811B6"/>
    <w:rsid w:val="00E81CFF"/>
    <w:rsid w:val="00E81ECA"/>
    <w:rsid w:val="00E821B8"/>
    <w:rsid w:val="00E821EF"/>
    <w:rsid w:val="00E83A18"/>
    <w:rsid w:val="00E8432D"/>
    <w:rsid w:val="00E85EB8"/>
    <w:rsid w:val="00E865AE"/>
    <w:rsid w:val="00E86907"/>
    <w:rsid w:val="00E8720A"/>
    <w:rsid w:val="00E87912"/>
    <w:rsid w:val="00E909A6"/>
    <w:rsid w:val="00E90B42"/>
    <w:rsid w:val="00E90FD7"/>
    <w:rsid w:val="00E91561"/>
    <w:rsid w:val="00E92CC3"/>
    <w:rsid w:val="00E93214"/>
    <w:rsid w:val="00E9341F"/>
    <w:rsid w:val="00E93606"/>
    <w:rsid w:val="00E94443"/>
    <w:rsid w:val="00E95783"/>
    <w:rsid w:val="00E95899"/>
    <w:rsid w:val="00E95DB8"/>
    <w:rsid w:val="00E9638F"/>
    <w:rsid w:val="00E97023"/>
    <w:rsid w:val="00E9724A"/>
    <w:rsid w:val="00E97CD8"/>
    <w:rsid w:val="00EA05B7"/>
    <w:rsid w:val="00EA0A28"/>
    <w:rsid w:val="00EA1950"/>
    <w:rsid w:val="00EA1F2A"/>
    <w:rsid w:val="00EA2491"/>
    <w:rsid w:val="00EA2BC4"/>
    <w:rsid w:val="00EA2C8B"/>
    <w:rsid w:val="00EA2E85"/>
    <w:rsid w:val="00EA39DE"/>
    <w:rsid w:val="00EA4444"/>
    <w:rsid w:val="00EA44C7"/>
    <w:rsid w:val="00EA4725"/>
    <w:rsid w:val="00EA472C"/>
    <w:rsid w:val="00EA521E"/>
    <w:rsid w:val="00EA54AC"/>
    <w:rsid w:val="00EA57D1"/>
    <w:rsid w:val="00EA5893"/>
    <w:rsid w:val="00EA6112"/>
    <w:rsid w:val="00EA6A6E"/>
    <w:rsid w:val="00EA6AF7"/>
    <w:rsid w:val="00EA705E"/>
    <w:rsid w:val="00EA7A32"/>
    <w:rsid w:val="00EA7B10"/>
    <w:rsid w:val="00EB0B94"/>
    <w:rsid w:val="00EB0E95"/>
    <w:rsid w:val="00EB20D3"/>
    <w:rsid w:val="00EB24EF"/>
    <w:rsid w:val="00EB26E5"/>
    <w:rsid w:val="00EB2ACE"/>
    <w:rsid w:val="00EB2D35"/>
    <w:rsid w:val="00EB2E3F"/>
    <w:rsid w:val="00EB31DE"/>
    <w:rsid w:val="00EB3524"/>
    <w:rsid w:val="00EB38FA"/>
    <w:rsid w:val="00EB5262"/>
    <w:rsid w:val="00EB54DA"/>
    <w:rsid w:val="00EB5AA6"/>
    <w:rsid w:val="00EB5AB4"/>
    <w:rsid w:val="00EB5D58"/>
    <w:rsid w:val="00EB63C8"/>
    <w:rsid w:val="00EB6652"/>
    <w:rsid w:val="00EB6F39"/>
    <w:rsid w:val="00EB7699"/>
    <w:rsid w:val="00EB7CF1"/>
    <w:rsid w:val="00EB7D99"/>
    <w:rsid w:val="00EC09EA"/>
    <w:rsid w:val="00EC0A09"/>
    <w:rsid w:val="00EC0D7E"/>
    <w:rsid w:val="00EC1504"/>
    <w:rsid w:val="00EC15B7"/>
    <w:rsid w:val="00EC27BC"/>
    <w:rsid w:val="00EC27EA"/>
    <w:rsid w:val="00EC28D5"/>
    <w:rsid w:val="00EC29E9"/>
    <w:rsid w:val="00EC2B25"/>
    <w:rsid w:val="00EC2F6E"/>
    <w:rsid w:val="00EC433F"/>
    <w:rsid w:val="00EC523D"/>
    <w:rsid w:val="00EC5635"/>
    <w:rsid w:val="00EC5F63"/>
    <w:rsid w:val="00EC62E8"/>
    <w:rsid w:val="00EC6C30"/>
    <w:rsid w:val="00EC71DA"/>
    <w:rsid w:val="00EC76F5"/>
    <w:rsid w:val="00EC7C66"/>
    <w:rsid w:val="00EC7C8E"/>
    <w:rsid w:val="00ED0423"/>
    <w:rsid w:val="00ED161A"/>
    <w:rsid w:val="00ED1A3B"/>
    <w:rsid w:val="00ED21F1"/>
    <w:rsid w:val="00ED27F7"/>
    <w:rsid w:val="00ED2C6D"/>
    <w:rsid w:val="00ED3745"/>
    <w:rsid w:val="00ED457E"/>
    <w:rsid w:val="00ED4AED"/>
    <w:rsid w:val="00ED4B68"/>
    <w:rsid w:val="00ED5019"/>
    <w:rsid w:val="00ED54F9"/>
    <w:rsid w:val="00ED577E"/>
    <w:rsid w:val="00ED5A10"/>
    <w:rsid w:val="00ED5FCB"/>
    <w:rsid w:val="00ED6673"/>
    <w:rsid w:val="00ED66F6"/>
    <w:rsid w:val="00ED6E3B"/>
    <w:rsid w:val="00ED7000"/>
    <w:rsid w:val="00EE04A3"/>
    <w:rsid w:val="00EE0A89"/>
    <w:rsid w:val="00EE103F"/>
    <w:rsid w:val="00EE127E"/>
    <w:rsid w:val="00EE1A2B"/>
    <w:rsid w:val="00EE2298"/>
    <w:rsid w:val="00EE235D"/>
    <w:rsid w:val="00EE2747"/>
    <w:rsid w:val="00EE279F"/>
    <w:rsid w:val="00EE28E0"/>
    <w:rsid w:val="00EE2A68"/>
    <w:rsid w:val="00EE4670"/>
    <w:rsid w:val="00EE49DB"/>
    <w:rsid w:val="00EE4B1B"/>
    <w:rsid w:val="00EE5732"/>
    <w:rsid w:val="00EE57EB"/>
    <w:rsid w:val="00EE5F75"/>
    <w:rsid w:val="00EE67C4"/>
    <w:rsid w:val="00EE6B84"/>
    <w:rsid w:val="00EE7139"/>
    <w:rsid w:val="00EE7B0C"/>
    <w:rsid w:val="00EF08B3"/>
    <w:rsid w:val="00EF201E"/>
    <w:rsid w:val="00EF20B8"/>
    <w:rsid w:val="00EF27BB"/>
    <w:rsid w:val="00EF321C"/>
    <w:rsid w:val="00EF50F2"/>
    <w:rsid w:val="00EF530A"/>
    <w:rsid w:val="00EF57B0"/>
    <w:rsid w:val="00EF5C44"/>
    <w:rsid w:val="00EF6E80"/>
    <w:rsid w:val="00EF70DA"/>
    <w:rsid w:val="00EF741E"/>
    <w:rsid w:val="00F0098B"/>
    <w:rsid w:val="00F00D38"/>
    <w:rsid w:val="00F02969"/>
    <w:rsid w:val="00F02D02"/>
    <w:rsid w:val="00F042CD"/>
    <w:rsid w:val="00F042DD"/>
    <w:rsid w:val="00F05076"/>
    <w:rsid w:val="00F0625F"/>
    <w:rsid w:val="00F064A9"/>
    <w:rsid w:val="00F06E49"/>
    <w:rsid w:val="00F070CA"/>
    <w:rsid w:val="00F074FE"/>
    <w:rsid w:val="00F07CD3"/>
    <w:rsid w:val="00F1028D"/>
    <w:rsid w:val="00F10307"/>
    <w:rsid w:val="00F11873"/>
    <w:rsid w:val="00F120FC"/>
    <w:rsid w:val="00F12D82"/>
    <w:rsid w:val="00F13357"/>
    <w:rsid w:val="00F140F6"/>
    <w:rsid w:val="00F14459"/>
    <w:rsid w:val="00F1495A"/>
    <w:rsid w:val="00F14D0E"/>
    <w:rsid w:val="00F154DF"/>
    <w:rsid w:val="00F16B5C"/>
    <w:rsid w:val="00F16D11"/>
    <w:rsid w:val="00F16D90"/>
    <w:rsid w:val="00F1772B"/>
    <w:rsid w:val="00F2046E"/>
    <w:rsid w:val="00F20AFC"/>
    <w:rsid w:val="00F20B75"/>
    <w:rsid w:val="00F2103D"/>
    <w:rsid w:val="00F21D27"/>
    <w:rsid w:val="00F229F6"/>
    <w:rsid w:val="00F22B91"/>
    <w:rsid w:val="00F22DEC"/>
    <w:rsid w:val="00F22EA6"/>
    <w:rsid w:val="00F23503"/>
    <w:rsid w:val="00F23867"/>
    <w:rsid w:val="00F247F2"/>
    <w:rsid w:val="00F24A17"/>
    <w:rsid w:val="00F24A4D"/>
    <w:rsid w:val="00F24D37"/>
    <w:rsid w:val="00F25578"/>
    <w:rsid w:val="00F25A17"/>
    <w:rsid w:val="00F260F9"/>
    <w:rsid w:val="00F2707B"/>
    <w:rsid w:val="00F274B0"/>
    <w:rsid w:val="00F27C45"/>
    <w:rsid w:val="00F300CD"/>
    <w:rsid w:val="00F304C7"/>
    <w:rsid w:val="00F30AD5"/>
    <w:rsid w:val="00F30F3A"/>
    <w:rsid w:val="00F31DD8"/>
    <w:rsid w:val="00F31E17"/>
    <w:rsid w:val="00F31ECE"/>
    <w:rsid w:val="00F32548"/>
    <w:rsid w:val="00F32BE7"/>
    <w:rsid w:val="00F32F58"/>
    <w:rsid w:val="00F33ADD"/>
    <w:rsid w:val="00F33BCA"/>
    <w:rsid w:val="00F33F9C"/>
    <w:rsid w:val="00F34A77"/>
    <w:rsid w:val="00F3568B"/>
    <w:rsid w:val="00F3592D"/>
    <w:rsid w:val="00F36166"/>
    <w:rsid w:val="00F36277"/>
    <w:rsid w:val="00F37331"/>
    <w:rsid w:val="00F377DD"/>
    <w:rsid w:val="00F407B4"/>
    <w:rsid w:val="00F40CFE"/>
    <w:rsid w:val="00F4113F"/>
    <w:rsid w:val="00F4161D"/>
    <w:rsid w:val="00F41FCE"/>
    <w:rsid w:val="00F422A4"/>
    <w:rsid w:val="00F4249D"/>
    <w:rsid w:val="00F42540"/>
    <w:rsid w:val="00F42812"/>
    <w:rsid w:val="00F42D0E"/>
    <w:rsid w:val="00F436FC"/>
    <w:rsid w:val="00F43D34"/>
    <w:rsid w:val="00F44177"/>
    <w:rsid w:val="00F44189"/>
    <w:rsid w:val="00F4459C"/>
    <w:rsid w:val="00F44D45"/>
    <w:rsid w:val="00F44F60"/>
    <w:rsid w:val="00F4514B"/>
    <w:rsid w:val="00F46C54"/>
    <w:rsid w:val="00F47AE6"/>
    <w:rsid w:val="00F47B95"/>
    <w:rsid w:val="00F47E05"/>
    <w:rsid w:val="00F501C6"/>
    <w:rsid w:val="00F502C0"/>
    <w:rsid w:val="00F50C41"/>
    <w:rsid w:val="00F519E1"/>
    <w:rsid w:val="00F51C38"/>
    <w:rsid w:val="00F52B75"/>
    <w:rsid w:val="00F52FD6"/>
    <w:rsid w:val="00F53BBC"/>
    <w:rsid w:val="00F54260"/>
    <w:rsid w:val="00F54412"/>
    <w:rsid w:val="00F544B9"/>
    <w:rsid w:val="00F55B04"/>
    <w:rsid w:val="00F56903"/>
    <w:rsid w:val="00F57486"/>
    <w:rsid w:val="00F5748F"/>
    <w:rsid w:val="00F5763D"/>
    <w:rsid w:val="00F604C2"/>
    <w:rsid w:val="00F60652"/>
    <w:rsid w:val="00F61AE1"/>
    <w:rsid w:val="00F61EFA"/>
    <w:rsid w:val="00F633F2"/>
    <w:rsid w:val="00F63C55"/>
    <w:rsid w:val="00F641AD"/>
    <w:rsid w:val="00F64B86"/>
    <w:rsid w:val="00F6545D"/>
    <w:rsid w:val="00F657F9"/>
    <w:rsid w:val="00F65C91"/>
    <w:rsid w:val="00F666B2"/>
    <w:rsid w:val="00F66F4D"/>
    <w:rsid w:val="00F67454"/>
    <w:rsid w:val="00F676A9"/>
    <w:rsid w:val="00F70CBD"/>
    <w:rsid w:val="00F70DEB"/>
    <w:rsid w:val="00F7114B"/>
    <w:rsid w:val="00F7194A"/>
    <w:rsid w:val="00F719D2"/>
    <w:rsid w:val="00F71FA1"/>
    <w:rsid w:val="00F72211"/>
    <w:rsid w:val="00F7231A"/>
    <w:rsid w:val="00F73946"/>
    <w:rsid w:val="00F73F52"/>
    <w:rsid w:val="00F7405C"/>
    <w:rsid w:val="00F74A77"/>
    <w:rsid w:val="00F76E9E"/>
    <w:rsid w:val="00F76EAA"/>
    <w:rsid w:val="00F77172"/>
    <w:rsid w:val="00F779CA"/>
    <w:rsid w:val="00F8041B"/>
    <w:rsid w:val="00F8067E"/>
    <w:rsid w:val="00F80744"/>
    <w:rsid w:val="00F80BC6"/>
    <w:rsid w:val="00F8240A"/>
    <w:rsid w:val="00F82723"/>
    <w:rsid w:val="00F82AE6"/>
    <w:rsid w:val="00F82CAE"/>
    <w:rsid w:val="00F835AC"/>
    <w:rsid w:val="00F83ACF"/>
    <w:rsid w:val="00F83BE9"/>
    <w:rsid w:val="00F83DF6"/>
    <w:rsid w:val="00F8473B"/>
    <w:rsid w:val="00F847C3"/>
    <w:rsid w:val="00F848CB"/>
    <w:rsid w:val="00F84A52"/>
    <w:rsid w:val="00F85352"/>
    <w:rsid w:val="00F85483"/>
    <w:rsid w:val="00F859F4"/>
    <w:rsid w:val="00F8677C"/>
    <w:rsid w:val="00F87675"/>
    <w:rsid w:val="00F8787D"/>
    <w:rsid w:val="00F87A04"/>
    <w:rsid w:val="00F87A3A"/>
    <w:rsid w:val="00F90956"/>
    <w:rsid w:val="00F9146A"/>
    <w:rsid w:val="00F91A23"/>
    <w:rsid w:val="00F9228A"/>
    <w:rsid w:val="00F9245B"/>
    <w:rsid w:val="00F92A36"/>
    <w:rsid w:val="00F92E10"/>
    <w:rsid w:val="00F93332"/>
    <w:rsid w:val="00F934F6"/>
    <w:rsid w:val="00F93DBC"/>
    <w:rsid w:val="00F94166"/>
    <w:rsid w:val="00F9645B"/>
    <w:rsid w:val="00F96885"/>
    <w:rsid w:val="00F968EA"/>
    <w:rsid w:val="00F97C6F"/>
    <w:rsid w:val="00FA09D7"/>
    <w:rsid w:val="00FA1AFB"/>
    <w:rsid w:val="00FA1D10"/>
    <w:rsid w:val="00FA2452"/>
    <w:rsid w:val="00FA27BA"/>
    <w:rsid w:val="00FA32FE"/>
    <w:rsid w:val="00FA3641"/>
    <w:rsid w:val="00FA43BC"/>
    <w:rsid w:val="00FA45A7"/>
    <w:rsid w:val="00FA5B12"/>
    <w:rsid w:val="00FA5D3E"/>
    <w:rsid w:val="00FA68D1"/>
    <w:rsid w:val="00FA6C83"/>
    <w:rsid w:val="00FA72C4"/>
    <w:rsid w:val="00FA7A20"/>
    <w:rsid w:val="00FB0265"/>
    <w:rsid w:val="00FB0B88"/>
    <w:rsid w:val="00FB10D4"/>
    <w:rsid w:val="00FB1771"/>
    <w:rsid w:val="00FB1CAD"/>
    <w:rsid w:val="00FB26CE"/>
    <w:rsid w:val="00FB2859"/>
    <w:rsid w:val="00FB2D61"/>
    <w:rsid w:val="00FB40BD"/>
    <w:rsid w:val="00FB547C"/>
    <w:rsid w:val="00FB60A6"/>
    <w:rsid w:val="00FC01F1"/>
    <w:rsid w:val="00FC0380"/>
    <w:rsid w:val="00FC1752"/>
    <w:rsid w:val="00FC194B"/>
    <w:rsid w:val="00FC1CFF"/>
    <w:rsid w:val="00FC1F0B"/>
    <w:rsid w:val="00FC3500"/>
    <w:rsid w:val="00FC3530"/>
    <w:rsid w:val="00FC371E"/>
    <w:rsid w:val="00FC44E5"/>
    <w:rsid w:val="00FC4A4D"/>
    <w:rsid w:val="00FC4AF3"/>
    <w:rsid w:val="00FC4B54"/>
    <w:rsid w:val="00FC4D9C"/>
    <w:rsid w:val="00FC61D8"/>
    <w:rsid w:val="00FC6726"/>
    <w:rsid w:val="00FC68BF"/>
    <w:rsid w:val="00FC7E13"/>
    <w:rsid w:val="00FD0979"/>
    <w:rsid w:val="00FD0A1B"/>
    <w:rsid w:val="00FD0A2D"/>
    <w:rsid w:val="00FD0D3B"/>
    <w:rsid w:val="00FD1314"/>
    <w:rsid w:val="00FD34A4"/>
    <w:rsid w:val="00FD3FDC"/>
    <w:rsid w:val="00FD4478"/>
    <w:rsid w:val="00FD53DF"/>
    <w:rsid w:val="00FD5652"/>
    <w:rsid w:val="00FD56E6"/>
    <w:rsid w:val="00FD59F2"/>
    <w:rsid w:val="00FD65D9"/>
    <w:rsid w:val="00FD66F7"/>
    <w:rsid w:val="00FD682F"/>
    <w:rsid w:val="00FD6992"/>
    <w:rsid w:val="00FD6C5C"/>
    <w:rsid w:val="00FD70DF"/>
    <w:rsid w:val="00FD716C"/>
    <w:rsid w:val="00FD75CC"/>
    <w:rsid w:val="00FD774C"/>
    <w:rsid w:val="00FE1EEA"/>
    <w:rsid w:val="00FE2237"/>
    <w:rsid w:val="00FE2418"/>
    <w:rsid w:val="00FE32D7"/>
    <w:rsid w:val="00FE3721"/>
    <w:rsid w:val="00FE37FA"/>
    <w:rsid w:val="00FE3B94"/>
    <w:rsid w:val="00FE45A7"/>
    <w:rsid w:val="00FE46E3"/>
    <w:rsid w:val="00FE481D"/>
    <w:rsid w:val="00FE4886"/>
    <w:rsid w:val="00FE57F5"/>
    <w:rsid w:val="00FE599E"/>
    <w:rsid w:val="00FE5BAA"/>
    <w:rsid w:val="00FE7336"/>
    <w:rsid w:val="00FE7C7F"/>
    <w:rsid w:val="00FF00BB"/>
    <w:rsid w:val="00FF0461"/>
    <w:rsid w:val="00FF054C"/>
    <w:rsid w:val="00FF0E77"/>
    <w:rsid w:val="00FF0F2C"/>
    <w:rsid w:val="00FF193A"/>
    <w:rsid w:val="00FF22FB"/>
    <w:rsid w:val="00FF28BF"/>
    <w:rsid w:val="00FF2A0B"/>
    <w:rsid w:val="00FF2D24"/>
    <w:rsid w:val="00FF2EB2"/>
    <w:rsid w:val="00FF31F5"/>
    <w:rsid w:val="00FF3A63"/>
    <w:rsid w:val="00FF432F"/>
    <w:rsid w:val="00FF4BDC"/>
    <w:rsid w:val="00FF547C"/>
    <w:rsid w:val="00FF6B73"/>
    <w:rsid w:val="00FF716D"/>
    <w:rsid w:val="00FF71C3"/>
    <w:rsid w:val="00FF772B"/>
    <w:rsid w:val="00FF7EF8"/>
    <w:rsid w:val="010F2A7F"/>
    <w:rsid w:val="01341807"/>
    <w:rsid w:val="01611669"/>
    <w:rsid w:val="01804038"/>
    <w:rsid w:val="01B3595C"/>
    <w:rsid w:val="01C7261E"/>
    <w:rsid w:val="01D07CD4"/>
    <w:rsid w:val="01E01EA5"/>
    <w:rsid w:val="01E47940"/>
    <w:rsid w:val="01EA0118"/>
    <w:rsid w:val="01F72768"/>
    <w:rsid w:val="01FB7067"/>
    <w:rsid w:val="020A236E"/>
    <w:rsid w:val="02106BEB"/>
    <w:rsid w:val="0213260E"/>
    <w:rsid w:val="0213634A"/>
    <w:rsid w:val="021F3E01"/>
    <w:rsid w:val="02234B2E"/>
    <w:rsid w:val="023B0C78"/>
    <w:rsid w:val="024F008B"/>
    <w:rsid w:val="025E7CD1"/>
    <w:rsid w:val="027F2C45"/>
    <w:rsid w:val="02826BB5"/>
    <w:rsid w:val="02995665"/>
    <w:rsid w:val="02AF0E95"/>
    <w:rsid w:val="02B833F8"/>
    <w:rsid w:val="02C13D13"/>
    <w:rsid w:val="02D42C66"/>
    <w:rsid w:val="02F95B2D"/>
    <w:rsid w:val="03413D5A"/>
    <w:rsid w:val="034667A4"/>
    <w:rsid w:val="03497675"/>
    <w:rsid w:val="034E5101"/>
    <w:rsid w:val="03741291"/>
    <w:rsid w:val="03801A14"/>
    <w:rsid w:val="03836A76"/>
    <w:rsid w:val="0394117B"/>
    <w:rsid w:val="03A20E91"/>
    <w:rsid w:val="03B87DD6"/>
    <w:rsid w:val="03C155E5"/>
    <w:rsid w:val="03C2759E"/>
    <w:rsid w:val="03E930F7"/>
    <w:rsid w:val="04024AD4"/>
    <w:rsid w:val="040F5EB2"/>
    <w:rsid w:val="0430426C"/>
    <w:rsid w:val="0440420A"/>
    <w:rsid w:val="04462576"/>
    <w:rsid w:val="044B7E62"/>
    <w:rsid w:val="04531C1E"/>
    <w:rsid w:val="047305A8"/>
    <w:rsid w:val="04874E61"/>
    <w:rsid w:val="048E501B"/>
    <w:rsid w:val="049D12B5"/>
    <w:rsid w:val="04B113EE"/>
    <w:rsid w:val="04BB47B7"/>
    <w:rsid w:val="04C070AB"/>
    <w:rsid w:val="04C20B31"/>
    <w:rsid w:val="04D67A09"/>
    <w:rsid w:val="050E1706"/>
    <w:rsid w:val="0529134E"/>
    <w:rsid w:val="052C55D2"/>
    <w:rsid w:val="05334836"/>
    <w:rsid w:val="057F1035"/>
    <w:rsid w:val="05945D66"/>
    <w:rsid w:val="05A1035E"/>
    <w:rsid w:val="05A3657D"/>
    <w:rsid w:val="05C05436"/>
    <w:rsid w:val="05C5100F"/>
    <w:rsid w:val="05C601C9"/>
    <w:rsid w:val="05DC34CB"/>
    <w:rsid w:val="05E84FE0"/>
    <w:rsid w:val="05E852E0"/>
    <w:rsid w:val="06205B26"/>
    <w:rsid w:val="06375D58"/>
    <w:rsid w:val="06457D31"/>
    <w:rsid w:val="064632DA"/>
    <w:rsid w:val="06583D63"/>
    <w:rsid w:val="06611FA2"/>
    <w:rsid w:val="0670091A"/>
    <w:rsid w:val="06835656"/>
    <w:rsid w:val="068E72D0"/>
    <w:rsid w:val="06912C4E"/>
    <w:rsid w:val="06A41B96"/>
    <w:rsid w:val="06B733CE"/>
    <w:rsid w:val="06BB0DA4"/>
    <w:rsid w:val="06BC58E5"/>
    <w:rsid w:val="06D30872"/>
    <w:rsid w:val="06E07C66"/>
    <w:rsid w:val="06FA5883"/>
    <w:rsid w:val="06FF2D5A"/>
    <w:rsid w:val="070757B5"/>
    <w:rsid w:val="070B5A73"/>
    <w:rsid w:val="07186DDF"/>
    <w:rsid w:val="0726674F"/>
    <w:rsid w:val="074023F2"/>
    <w:rsid w:val="074864BD"/>
    <w:rsid w:val="074B78AB"/>
    <w:rsid w:val="0759387E"/>
    <w:rsid w:val="075B3D25"/>
    <w:rsid w:val="0776692B"/>
    <w:rsid w:val="07766CB2"/>
    <w:rsid w:val="07867D53"/>
    <w:rsid w:val="07AE5352"/>
    <w:rsid w:val="07AF2602"/>
    <w:rsid w:val="07B26E8A"/>
    <w:rsid w:val="07D03EE4"/>
    <w:rsid w:val="07DC640F"/>
    <w:rsid w:val="07E77596"/>
    <w:rsid w:val="08005300"/>
    <w:rsid w:val="08567104"/>
    <w:rsid w:val="086F24E5"/>
    <w:rsid w:val="08784CC3"/>
    <w:rsid w:val="087860A6"/>
    <w:rsid w:val="0889488C"/>
    <w:rsid w:val="08A41020"/>
    <w:rsid w:val="08AF79C5"/>
    <w:rsid w:val="08C55710"/>
    <w:rsid w:val="08E052D9"/>
    <w:rsid w:val="08EF1841"/>
    <w:rsid w:val="08FA3CFA"/>
    <w:rsid w:val="09183264"/>
    <w:rsid w:val="09306D58"/>
    <w:rsid w:val="0952686E"/>
    <w:rsid w:val="095336EB"/>
    <w:rsid w:val="096377BD"/>
    <w:rsid w:val="098B1E10"/>
    <w:rsid w:val="099D768B"/>
    <w:rsid w:val="09BA3580"/>
    <w:rsid w:val="09C5742F"/>
    <w:rsid w:val="09D74144"/>
    <w:rsid w:val="09D871C1"/>
    <w:rsid w:val="09E82623"/>
    <w:rsid w:val="0A022F42"/>
    <w:rsid w:val="0A062366"/>
    <w:rsid w:val="0A11598B"/>
    <w:rsid w:val="0A1C108A"/>
    <w:rsid w:val="0A283ED3"/>
    <w:rsid w:val="0A404CBE"/>
    <w:rsid w:val="0A506D0B"/>
    <w:rsid w:val="0A5E56D7"/>
    <w:rsid w:val="0A755003"/>
    <w:rsid w:val="0A8B273A"/>
    <w:rsid w:val="0A9710D7"/>
    <w:rsid w:val="0A972C30"/>
    <w:rsid w:val="0AAC1553"/>
    <w:rsid w:val="0AB67731"/>
    <w:rsid w:val="0AB82F4F"/>
    <w:rsid w:val="0ACA18FD"/>
    <w:rsid w:val="0ACE05D7"/>
    <w:rsid w:val="0AEC7E43"/>
    <w:rsid w:val="0AFD535F"/>
    <w:rsid w:val="0B037CE6"/>
    <w:rsid w:val="0B087CC9"/>
    <w:rsid w:val="0B115031"/>
    <w:rsid w:val="0B2E3BE7"/>
    <w:rsid w:val="0B510757"/>
    <w:rsid w:val="0B55394C"/>
    <w:rsid w:val="0B6515F7"/>
    <w:rsid w:val="0B6C6D73"/>
    <w:rsid w:val="0B6D6098"/>
    <w:rsid w:val="0B8476A0"/>
    <w:rsid w:val="0B9D017C"/>
    <w:rsid w:val="0BAC02FC"/>
    <w:rsid w:val="0BCF0633"/>
    <w:rsid w:val="0BD92058"/>
    <w:rsid w:val="0BF2352F"/>
    <w:rsid w:val="0BF60BA9"/>
    <w:rsid w:val="0BF6614F"/>
    <w:rsid w:val="0BFF0F40"/>
    <w:rsid w:val="0C0F1A65"/>
    <w:rsid w:val="0C2E60A6"/>
    <w:rsid w:val="0C3837F3"/>
    <w:rsid w:val="0C3B3A12"/>
    <w:rsid w:val="0C58618C"/>
    <w:rsid w:val="0C647963"/>
    <w:rsid w:val="0C8968BF"/>
    <w:rsid w:val="0CD17E07"/>
    <w:rsid w:val="0CD378BC"/>
    <w:rsid w:val="0CF625E6"/>
    <w:rsid w:val="0D203147"/>
    <w:rsid w:val="0D4C61F6"/>
    <w:rsid w:val="0D546D4E"/>
    <w:rsid w:val="0D597B65"/>
    <w:rsid w:val="0D617E9A"/>
    <w:rsid w:val="0D6809F6"/>
    <w:rsid w:val="0D6F3971"/>
    <w:rsid w:val="0D7A5BD4"/>
    <w:rsid w:val="0D87122F"/>
    <w:rsid w:val="0DBD592E"/>
    <w:rsid w:val="0DC12C6F"/>
    <w:rsid w:val="0DCF4D92"/>
    <w:rsid w:val="0DD72234"/>
    <w:rsid w:val="0DD83233"/>
    <w:rsid w:val="0DFC6ECD"/>
    <w:rsid w:val="0E0930AE"/>
    <w:rsid w:val="0E0C079E"/>
    <w:rsid w:val="0E0C1B64"/>
    <w:rsid w:val="0E155944"/>
    <w:rsid w:val="0E511C4A"/>
    <w:rsid w:val="0E58084F"/>
    <w:rsid w:val="0E5A4E59"/>
    <w:rsid w:val="0E6B0E3B"/>
    <w:rsid w:val="0E6F64F2"/>
    <w:rsid w:val="0E7E14C3"/>
    <w:rsid w:val="0EA51F9A"/>
    <w:rsid w:val="0EAB4650"/>
    <w:rsid w:val="0EC32F06"/>
    <w:rsid w:val="0F0B7D6A"/>
    <w:rsid w:val="0F2302E5"/>
    <w:rsid w:val="0F313684"/>
    <w:rsid w:val="0F362BEE"/>
    <w:rsid w:val="0F395AA4"/>
    <w:rsid w:val="0F5D76B8"/>
    <w:rsid w:val="0F7C7A8E"/>
    <w:rsid w:val="0F9F3F1A"/>
    <w:rsid w:val="0FB572E7"/>
    <w:rsid w:val="0FC22503"/>
    <w:rsid w:val="0FD73D21"/>
    <w:rsid w:val="101F7E26"/>
    <w:rsid w:val="104E6FCA"/>
    <w:rsid w:val="10565E11"/>
    <w:rsid w:val="10613E36"/>
    <w:rsid w:val="107E0476"/>
    <w:rsid w:val="108E043F"/>
    <w:rsid w:val="10AE0C03"/>
    <w:rsid w:val="10C009C2"/>
    <w:rsid w:val="10CA300F"/>
    <w:rsid w:val="10D56839"/>
    <w:rsid w:val="11022DDC"/>
    <w:rsid w:val="11035399"/>
    <w:rsid w:val="110461A0"/>
    <w:rsid w:val="111303B8"/>
    <w:rsid w:val="11257503"/>
    <w:rsid w:val="112B6FF4"/>
    <w:rsid w:val="112D797D"/>
    <w:rsid w:val="113457BD"/>
    <w:rsid w:val="11391BA8"/>
    <w:rsid w:val="113A4041"/>
    <w:rsid w:val="113C4DEC"/>
    <w:rsid w:val="114F7170"/>
    <w:rsid w:val="11513CC4"/>
    <w:rsid w:val="117D0437"/>
    <w:rsid w:val="118C146A"/>
    <w:rsid w:val="118D0FED"/>
    <w:rsid w:val="1199258A"/>
    <w:rsid w:val="11BF5213"/>
    <w:rsid w:val="11C76811"/>
    <w:rsid w:val="11D60892"/>
    <w:rsid w:val="11F43A8D"/>
    <w:rsid w:val="11F6261B"/>
    <w:rsid w:val="11FD11B9"/>
    <w:rsid w:val="11FF45CA"/>
    <w:rsid w:val="1200619B"/>
    <w:rsid w:val="12066CCD"/>
    <w:rsid w:val="121408B8"/>
    <w:rsid w:val="121C0D71"/>
    <w:rsid w:val="123E1242"/>
    <w:rsid w:val="12415B32"/>
    <w:rsid w:val="125B005F"/>
    <w:rsid w:val="12720C3D"/>
    <w:rsid w:val="127870F6"/>
    <w:rsid w:val="127F4E32"/>
    <w:rsid w:val="12943B53"/>
    <w:rsid w:val="129E228F"/>
    <w:rsid w:val="12A32349"/>
    <w:rsid w:val="12AA2C7C"/>
    <w:rsid w:val="12B01D9A"/>
    <w:rsid w:val="12B24C82"/>
    <w:rsid w:val="12C05C4C"/>
    <w:rsid w:val="12E225AE"/>
    <w:rsid w:val="13047A4A"/>
    <w:rsid w:val="131A294D"/>
    <w:rsid w:val="13214137"/>
    <w:rsid w:val="13252CA9"/>
    <w:rsid w:val="1346734E"/>
    <w:rsid w:val="13677B9A"/>
    <w:rsid w:val="136E4104"/>
    <w:rsid w:val="13757537"/>
    <w:rsid w:val="139A3CA8"/>
    <w:rsid w:val="139F7D68"/>
    <w:rsid w:val="13D404E8"/>
    <w:rsid w:val="13EC0FDF"/>
    <w:rsid w:val="13F71F8B"/>
    <w:rsid w:val="13FA61F3"/>
    <w:rsid w:val="140C2250"/>
    <w:rsid w:val="14327D30"/>
    <w:rsid w:val="143675E5"/>
    <w:rsid w:val="146803E7"/>
    <w:rsid w:val="14854670"/>
    <w:rsid w:val="148E6D45"/>
    <w:rsid w:val="14921D11"/>
    <w:rsid w:val="14AF4EE7"/>
    <w:rsid w:val="14CA1C72"/>
    <w:rsid w:val="14D734A8"/>
    <w:rsid w:val="14E8032B"/>
    <w:rsid w:val="1505158A"/>
    <w:rsid w:val="152D14FB"/>
    <w:rsid w:val="15323C6E"/>
    <w:rsid w:val="153616D8"/>
    <w:rsid w:val="153C5198"/>
    <w:rsid w:val="15476F05"/>
    <w:rsid w:val="154B27DE"/>
    <w:rsid w:val="156813EF"/>
    <w:rsid w:val="15681628"/>
    <w:rsid w:val="15731EFB"/>
    <w:rsid w:val="157B65D3"/>
    <w:rsid w:val="159E2943"/>
    <w:rsid w:val="15A27160"/>
    <w:rsid w:val="15AF31F4"/>
    <w:rsid w:val="15D40DB3"/>
    <w:rsid w:val="15F24B67"/>
    <w:rsid w:val="15F56586"/>
    <w:rsid w:val="15F77435"/>
    <w:rsid w:val="16212CEA"/>
    <w:rsid w:val="163B7EC5"/>
    <w:rsid w:val="165E77C0"/>
    <w:rsid w:val="166E5E7D"/>
    <w:rsid w:val="16894B5C"/>
    <w:rsid w:val="168A6FB0"/>
    <w:rsid w:val="168E3F15"/>
    <w:rsid w:val="16A719AE"/>
    <w:rsid w:val="16AE316B"/>
    <w:rsid w:val="16B13DE0"/>
    <w:rsid w:val="16DE22BE"/>
    <w:rsid w:val="16F570A4"/>
    <w:rsid w:val="17023236"/>
    <w:rsid w:val="170764C4"/>
    <w:rsid w:val="17232524"/>
    <w:rsid w:val="172B534F"/>
    <w:rsid w:val="17576DFB"/>
    <w:rsid w:val="175E4D8C"/>
    <w:rsid w:val="17675839"/>
    <w:rsid w:val="17963F0A"/>
    <w:rsid w:val="179736F4"/>
    <w:rsid w:val="17E143D9"/>
    <w:rsid w:val="17E256C1"/>
    <w:rsid w:val="17E845CC"/>
    <w:rsid w:val="17EB3DBA"/>
    <w:rsid w:val="17F4706E"/>
    <w:rsid w:val="17F97B4C"/>
    <w:rsid w:val="18134BC6"/>
    <w:rsid w:val="1816180F"/>
    <w:rsid w:val="183A72AB"/>
    <w:rsid w:val="18420E24"/>
    <w:rsid w:val="184273FC"/>
    <w:rsid w:val="184D5B08"/>
    <w:rsid w:val="184D5E12"/>
    <w:rsid w:val="185215CF"/>
    <w:rsid w:val="188D119D"/>
    <w:rsid w:val="18A24ADF"/>
    <w:rsid w:val="18A66386"/>
    <w:rsid w:val="18AE10E8"/>
    <w:rsid w:val="18B62FBC"/>
    <w:rsid w:val="18D40391"/>
    <w:rsid w:val="18D4318B"/>
    <w:rsid w:val="18D76B3E"/>
    <w:rsid w:val="18DD795E"/>
    <w:rsid w:val="18DE5ABF"/>
    <w:rsid w:val="18E847C8"/>
    <w:rsid w:val="18E91DCE"/>
    <w:rsid w:val="18EF453A"/>
    <w:rsid w:val="18F42FBA"/>
    <w:rsid w:val="18F95642"/>
    <w:rsid w:val="190B0C48"/>
    <w:rsid w:val="19220DB3"/>
    <w:rsid w:val="192E201B"/>
    <w:rsid w:val="19363179"/>
    <w:rsid w:val="193E12B8"/>
    <w:rsid w:val="19400DCC"/>
    <w:rsid w:val="19495773"/>
    <w:rsid w:val="196E3132"/>
    <w:rsid w:val="1989488F"/>
    <w:rsid w:val="199112BA"/>
    <w:rsid w:val="19AB7A93"/>
    <w:rsid w:val="19CA307A"/>
    <w:rsid w:val="19DE7B91"/>
    <w:rsid w:val="19E24796"/>
    <w:rsid w:val="19F204DF"/>
    <w:rsid w:val="1A0D340C"/>
    <w:rsid w:val="1A283402"/>
    <w:rsid w:val="1A2F0BF3"/>
    <w:rsid w:val="1A410A5E"/>
    <w:rsid w:val="1A7030D1"/>
    <w:rsid w:val="1A7941DD"/>
    <w:rsid w:val="1A8672A5"/>
    <w:rsid w:val="1AA262DC"/>
    <w:rsid w:val="1AC53DFF"/>
    <w:rsid w:val="1AEF6A73"/>
    <w:rsid w:val="1AF90C72"/>
    <w:rsid w:val="1B04092D"/>
    <w:rsid w:val="1B2E7426"/>
    <w:rsid w:val="1B300894"/>
    <w:rsid w:val="1B520E5C"/>
    <w:rsid w:val="1B9A69C5"/>
    <w:rsid w:val="1BA46EEA"/>
    <w:rsid w:val="1BD17462"/>
    <w:rsid w:val="1BD67CB2"/>
    <w:rsid w:val="1BED2887"/>
    <w:rsid w:val="1BEF4851"/>
    <w:rsid w:val="1C270C86"/>
    <w:rsid w:val="1C2B05D9"/>
    <w:rsid w:val="1C2C70AF"/>
    <w:rsid w:val="1C317DF7"/>
    <w:rsid w:val="1C373C94"/>
    <w:rsid w:val="1C457956"/>
    <w:rsid w:val="1C614ADC"/>
    <w:rsid w:val="1C6963B1"/>
    <w:rsid w:val="1C7A6810"/>
    <w:rsid w:val="1C7C0FFA"/>
    <w:rsid w:val="1C821221"/>
    <w:rsid w:val="1C870C6E"/>
    <w:rsid w:val="1C981CC2"/>
    <w:rsid w:val="1C9C2D71"/>
    <w:rsid w:val="1CA0790B"/>
    <w:rsid w:val="1CA84002"/>
    <w:rsid w:val="1CC23929"/>
    <w:rsid w:val="1CFE662D"/>
    <w:rsid w:val="1D006743"/>
    <w:rsid w:val="1D5E5A43"/>
    <w:rsid w:val="1D817F2D"/>
    <w:rsid w:val="1D9C6312"/>
    <w:rsid w:val="1DD553FC"/>
    <w:rsid w:val="1DE03CF5"/>
    <w:rsid w:val="1E075D31"/>
    <w:rsid w:val="1E0D7AF5"/>
    <w:rsid w:val="1E1C6F65"/>
    <w:rsid w:val="1E3B56A5"/>
    <w:rsid w:val="1E4C641D"/>
    <w:rsid w:val="1E5449C4"/>
    <w:rsid w:val="1E564AFE"/>
    <w:rsid w:val="1E794363"/>
    <w:rsid w:val="1E9D3232"/>
    <w:rsid w:val="1EB41FCF"/>
    <w:rsid w:val="1EB63119"/>
    <w:rsid w:val="1ECA20B2"/>
    <w:rsid w:val="1EF55569"/>
    <w:rsid w:val="1F0E3240"/>
    <w:rsid w:val="1F165060"/>
    <w:rsid w:val="1F1703B6"/>
    <w:rsid w:val="1F1B6B78"/>
    <w:rsid w:val="1F271470"/>
    <w:rsid w:val="1F2E7FA7"/>
    <w:rsid w:val="1F32001E"/>
    <w:rsid w:val="1F495DBA"/>
    <w:rsid w:val="1F4C5A64"/>
    <w:rsid w:val="1F576995"/>
    <w:rsid w:val="1F69491A"/>
    <w:rsid w:val="1F730C82"/>
    <w:rsid w:val="1F882888"/>
    <w:rsid w:val="1F890A1E"/>
    <w:rsid w:val="1FA01451"/>
    <w:rsid w:val="1FA61E9D"/>
    <w:rsid w:val="1FC54CFC"/>
    <w:rsid w:val="1FCE2061"/>
    <w:rsid w:val="1FD73D24"/>
    <w:rsid w:val="1FE5132C"/>
    <w:rsid w:val="1FE551D2"/>
    <w:rsid w:val="200D799B"/>
    <w:rsid w:val="201B43A3"/>
    <w:rsid w:val="201E5705"/>
    <w:rsid w:val="203155C0"/>
    <w:rsid w:val="20605D1D"/>
    <w:rsid w:val="206400A9"/>
    <w:rsid w:val="206550E2"/>
    <w:rsid w:val="2067467B"/>
    <w:rsid w:val="208A3FFA"/>
    <w:rsid w:val="208E7998"/>
    <w:rsid w:val="209061ED"/>
    <w:rsid w:val="209F4C9B"/>
    <w:rsid w:val="20BE2A23"/>
    <w:rsid w:val="20C31E08"/>
    <w:rsid w:val="20DE048A"/>
    <w:rsid w:val="20EC6746"/>
    <w:rsid w:val="210F76FF"/>
    <w:rsid w:val="21187497"/>
    <w:rsid w:val="212B36E4"/>
    <w:rsid w:val="212E7335"/>
    <w:rsid w:val="213D71AC"/>
    <w:rsid w:val="2144119B"/>
    <w:rsid w:val="2146456C"/>
    <w:rsid w:val="214A0D2E"/>
    <w:rsid w:val="216431C0"/>
    <w:rsid w:val="216E372E"/>
    <w:rsid w:val="217647C4"/>
    <w:rsid w:val="217C579B"/>
    <w:rsid w:val="218F3216"/>
    <w:rsid w:val="219F6D5E"/>
    <w:rsid w:val="21B0038A"/>
    <w:rsid w:val="21B54F34"/>
    <w:rsid w:val="21BC78A2"/>
    <w:rsid w:val="21C341A2"/>
    <w:rsid w:val="21D25FAC"/>
    <w:rsid w:val="21E222D0"/>
    <w:rsid w:val="21FC1A76"/>
    <w:rsid w:val="22292E20"/>
    <w:rsid w:val="226952E2"/>
    <w:rsid w:val="229F6598"/>
    <w:rsid w:val="22A0343D"/>
    <w:rsid w:val="22C01798"/>
    <w:rsid w:val="22CE2D90"/>
    <w:rsid w:val="22E91FFA"/>
    <w:rsid w:val="2307254B"/>
    <w:rsid w:val="23185758"/>
    <w:rsid w:val="232079E6"/>
    <w:rsid w:val="23265E1B"/>
    <w:rsid w:val="232848A9"/>
    <w:rsid w:val="232F2D7C"/>
    <w:rsid w:val="233A77FD"/>
    <w:rsid w:val="23445CDB"/>
    <w:rsid w:val="2345343C"/>
    <w:rsid w:val="236B2C81"/>
    <w:rsid w:val="23700B0D"/>
    <w:rsid w:val="238E783A"/>
    <w:rsid w:val="23A53F75"/>
    <w:rsid w:val="23BD3696"/>
    <w:rsid w:val="23BF23DB"/>
    <w:rsid w:val="23DF46DD"/>
    <w:rsid w:val="23E2531A"/>
    <w:rsid w:val="24171CF5"/>
    <w:rsid w:val="24185B13"/>
    <w:rsid w:val="2420730F"/>
    <w:rsid w:val="242A59E8"/>
    <w:rsid w:val="244D1E7A"/>
    <w:rsid w:val="24825117"/>
    <w:rsid w:val="24837ED9"/>
    <w:rsid w:val="24861ACA"/>
    <w:rsid w:val="24B41C94"/>
    <w:rsid w:val="24C43B75"/>
    <w:rsid w:val="24D2760D"/>
    <w:rsid w:val="24E20C38"/>
    <w:rsid w:val="24EB3612"/>
    <w:rsid w:val="250E3FFF"/>
    <w:rsid w:val="25113A8A"/>
    <w:rsid w:val="252034AE"/>
    <w:rsid w:val="25501B9D"/>
    <w:rsid w:val="25534A1F"/>
    <w:rsid w:val="256B7997"/>
    <w:rsid w:val="258778A8"/>
    <w:rsid w:val="25A36F23"/>
    <w:rsid w:val="25AE3684"/>
    <w:rsid w:val="25B31715"/>
    <w:rsid w:val="25F74A2E"/>
    <w:rsid w:val="25F905C0"/>
    <w:rsid w:val="26230EA8"/>
    <w:rsid w:val="26517DD4"/>
    <w:rsid w:val="265B6D1D"/>
    <w:rsid w:val="265F7261"/>
    <w:rsid w:val="266770C3"/>
    <w:rsid w:val="2678620C"/>
    <w:rsid w:val="268F1791"/>
    <w:rsid w:val="26936DEC"/>
    <w:rsid w:val="26A9481E"/>
    <w:rsid w:val="26B75B24"/>
    <w:rsid w:val="26BB418A"/>
    <w:rsid w:val="26FC76B0"/>
    <w:rsid w:val="27107801"/>
    <w:rsid w:val="271E5406"/>
    <w:rsid w:val="2727518E"/>
    <w:rsid w:val="273A3195"/>
    <w:rsid w:val="27497048"/>
    <w:rsid w:val="27560851"/>
    <w:rsid w:val="276C7915"/>
    <w:rsid w:val="277538C2"/>
    <w:rsid w:val="27816E49"/>
    <w:rsid w:val="278B23EE"/>
    <w:rsid w:val="279A7D67"/>
    <w:rsid w:val="27A02EA3"/>
    <w:rsid w:val="27AA6B16"/>
    <w:rsid w:val="27B05A5D"/>
    <w:rsid w:val="27B67A30"/>
    <w:rsid w:val="27E36D1A"/>
    <w:rsid w:val="27EC051B"/>
    <w:rsid w:val="281136FD"/>
    <w:rsid w:val="2811615C"/>
    <w:rsid w:val="282040D6"/>
    <w:rsid w:val="28345F13"/>
    <w:rsid w:val="28481571"/>
    <w:rsid w:val="285D2FC4"/>
    <w:rsid w:val="286577C3"/>
    <w:rsid w:val="286725D6"/>
    <w:rsid w:val="2885248C"/>
    <w:rsid w:val="288A77C7"/>
    <w:rsid w:val="288D1EA3"/>
    <w:rsid w:val="28A730C1"/>
    <w:rsid w:val="28B453A5"/>
    <w:rsid w:val="28B568DE"/>
    <w:rsid w:val="28C01A4F"/>
    <w:rsid w:val="28CD2BE6"/>
    <w:rsid w:val="28D1347A"/>
    <w:rsid w:val="28EA7627"/>
    <w:rsid w:val="28F65053"/>
    <w:rsid w:val="28F813CA"/>
    <w:rsid w:val="28FF79E5"/>
    <w:rsid w:val="2906549D"/>
    <w:rsid w:val="2929681F"/>
    <w:rsid w:val="29375E29"/>
    <w:rsid w:val="29387758"/>
    <w:rsid w:val="294D4676"/>
    <w:rsid w:val="295108F9"/>
    <w:rsid w:val="29667404"/>
    <w:rsid w:val="296A11B1"/>
    <w:rsid w:val="296A2E73"/>
    <w:rsid w:val="29707C67"/>
    <w:rsid w:val="298232B9"/>
    <w:rsid w:val="29943DFE"/>
    <w:rsid w:val="29A46F8B"/>
    <w:rsid w:val="29E21551"/>
    <w:rsid w:val="29F60458"/>
    <w:rsid w:val="2A0A1DDE"/>
    <w:rsid w:val="2A1A5FF9"/>
    <w:rsid w:val="2A443795"/>
    <w:rsid w:val="2A4A71E5"/>
    <w:rsid w:val="2A67642B"/>
    <w:rsid w:val="2A6978A1"/>
    <w:rsid w:val="2A8464F8"/>
    <w:rsid w:val="2A85005A"/>
    <w:rsid w:val="2A8F3E59"/>
    <w:rsid w:val="2A9E258D"/>
    <w:rsid w:val="2AE53E7E"/>
    <w:rsid w:val="2AF36E60"/>
    <w:rsid w:val="2AF61758"/>
    <w:rsid w:val="2B014B90"/>
    <w:rsid w:val="2B1E05FB"/>
    <w:rsid w:val="2B4A209F"/>
    <w:rsid w:val="2B5D7A92"/>
    <w:rsid w:val="2B65523A"/>
    <w:rsid w:val="2B7B7CD4"/>
    <w:rsid w:val="2BA8061B"/>
    <w:rsid w:val="2BAD10CE"/>
    <w:rsid w:val="2BB91A73"/>
    <w:rsid w:val="2BC60B38"/>
    <w:rsid w:val="2BE01B94"/>
    <w:rsid w:val="2C013ABF"/>
    <w:rsid w:val="2C0E1381"/>
    <w:rsid w:val="2C22108F"/>
    <w:rsid w:val="2C3C7815"/>
    <w:rsid w:val="2C4544FF"/>
    <w:rsid w:val="2C4B4176"/>
    <w:rsid w:val="2C4B79FA"/>
    <w:rsid w:val="2C537D80"/>
    <w:rsid w:val="2C6F16AA"/>
    <w:rsid w:val="2C7661E9"/>
    <w:rsid w:val="2C7B3473"/>
    <w:rsid w:val="2C8213C5"/>
    <w:rsid w:val="2C82701B"/>
    <w:rsid w:val="2C8656F5"/>
    <w:rsid w:val="2C8D0F01"/>
    <w:rsid w:val="2C9656D1"/>
    <w:rsid w:val="2CA5012C"/>
    <w:rsid w:val="2CBB20A9"/>
    <w:rsid w:val="2CD60E17"/>
    <w:rsid w:val="2CD92496"/>
    <w:rsid w:val="2CE37ABA"/>
    <w:rsid w:val="2CE83899"/>
    <w:rsid w:val="2D097190"/>
    <w:rsid w:val="2D1D16AD"/>
    <w:rsid w:val="2D2B6A7F"/>
    <w:rsid w:val="2D6248B1"/>
    <w:rsid w:val="2D736983"/>
    <w:rsid w:val="2D772386"/>
    <w:rsid w:val="2D777D34"/>
    <w:rsid w:val="2D805E53"/>
    <w:rsid w:val="2DB86630"/>
    <w:rsid w:val="2DD9064D"/>
    <w:rsid w:val="2DE00BB1"/>
    <w:rsid w:val="2E0D7ECA"/>
    <w:rsid w:val="2E1170DB"/>
    <w:rsid w:val="2E237890"/>
    <w:rsid w:val="2E694620"/>
    <w:rsid w:val="2E695209"/>
    <w:rsid w:val="2E6A1846"/>
    <w:rsid w:val="2E6C461F"/>
    <w:rsid w:val="2E6C6A79"/>
    <w:rsid w:val="2E6F0539"/>
    <w:rsid w:val="2E704BDD"/>
    <w:rsid w:val="2E7E040C"/>
    <w:rsid w:val="2E807C61"/>
    <w:rsid w:val="2E81371B"/>
    <w:rsid w:val="2E924A60"/>
    <w:rsid w:val="2EA911ED"/>
    <w:rsid w:val="2EA944D2"/>
    <w:rsid w:val="2EB312A6"/>
    <w:rsid w:val="2EBA0CEE"/>
    <w:rsid w:val="2EF04E1F"/>
    <w:rsid w:val="2F1934CD"/>
    <w:rsid w:val="2F212436"/>
    <w:rsid w:val="2F466725"/>
    <w:rsid w:val="2F6555C6"/>
    <w:rsid w:val="2F7D2448"/>
    <w:rsid w:val="2F9B4377"/>
    <w:rsid w:val="2FAE0454"/>
    <w:rsid w:val="2FB24A0E"/>
    <w:rsid w:val="2FC46DE8"/>
    <w:rsid w:val="300C08F4"/>
    <w:rsid w:val="301A434D"/>
    <w:rsid w:val="302317C2"/>
    <w:rsid w:val="30395C43"/>
    <w:rsid w:val="3042623A"/>
    <w:rsid w:val="30586E0E"/>
    <w:rsid w:val="3063375A"/>
    <w:rsid w:val="307A509C"/>
    <w:rsid w:val="308346EC"/>
    <w:rsid w:val="3088423E"/>
    <w:rsid w:val="308B2C39"/>
    <w:rsid w:val="30933E9A"/>
    <w:rsid w:val="30AB2416"/>
    <w:rsid w:val="30B4182A"/>
    <w:rsid w:val="30DD4FFE"/>
    <w:rsid w:val="30DD5DAE"/>
    <w:rsid w:val="30F34F3C"/>
    <w:rsid w:val="31037483"/>
    <w:rsid w:val="3111438D"/>
    <w:rsid w:val="3130358B"/>
    <w:rsid w:val="31403973"/>
    <w:rsid w:val="314E6146"/>
    <w:rsid w:val="31725BEB"/>
    <w:rsid w:val="31764716"/>
    <w:rsid w:val="318B3C36"/>
    <w:rsid w:val="3195127E"/>
    <w:rsid w:val="319843C9"/>
    <w:rsid w:val="319F5F79"/>
    <w:rsid w:val="31AB19F5"/>
    <w:rsid w:val="31B44785"/>
    <w:rsid w:val="31B91B4B"/>
    <w:rsid w:val="31C73B2C"/>
    <w:rsid w:val="31F7222A"/>
    <w:rsid w:val="32120ECA"/>
    <w:rsid w:val="32221801"/>
    <w:rsid w:val="32266F3D"/>
    <w:rsid w:val="322C5A5F"/>
    <w:rsid w:val="32935C1D"/>
    <w:rsid w:val="32987285"/>
    <w:rsid w:val="32AA7EC4"/>
    <w:rsid w:val="32E84FD7"/>
    <w:rsid w:val="32FB368E"/>
    <w:rsid w:val="33005736"/>
    <w:rsid w:val="332514C6"/>
    <w:rsid w:val="332D2769"/>
    <w:rsid w:val="334449AA"/>
    <w:rsid w:val="334F1FB7"/>
    <w:rsid w:val="33716C38"/>
    <w:rsid w:val="33880FB7"/>
    <w:rsid w:val="33966748"/>
    <w:rsid w:val="33966C1B"/>
    <w:rsid w:val="33AE4725"/>
    <w:rsid w:val="33B40C2C"/>
    <w:rsid w:val="33B66858"/>
    <w:rsid w:val="33C12740"/>
    <w:rsid w:val="33E31D8F"/>
    <w:rsid w:val="33E92D83"/>
    <w:rsid w:val="33EE341A"/>
    <w:rsid w:val="33F86270"/>
    <w:rsid w:val="34095C3A"/>
    <w:rsid w:val="340A230B"/>
    <w:rsid w:val="340D09F4"/>
    <w:rsid w:val="34166EAD"/>
    <w:rsid w:val="34396765"/>
    <w:rsid w:val="344D36B5"/>
    <w:rsid w:val="3457264A"/>
    <w:rsid w:val="345B176C"/>
    <w:rsid w:val="346B4885"/>
    <w:rsid w:val="347E647E"/>
    <w:rsid w:val="34A30CB3"/>
    <w:rsid w:val="34A9751A"/>
    <w:rsid w:val="34DA5AE3"/>
    <w:rsid w:val="34E24136"/>
    <w:rsid w:val="34F605A6"/>
    <w:rsid w:val="351A76CE"/>
    <w:rsid w:val="351D4BE9"/>
    <w:rsid w:val="352226C3"/>
    <w:rsid w:val="35432CA6"/>
    <w:rsid w:val="354B06BA"/>
    <w:rsid w:val="354D6418"/>
    <w:rsid w:val="35507CB7"/>
    <w:rsid w:val="355470BE"/>
    <w:rsid w:val="3558300F"/>
    <w:rsid w:val="3559782E"/>
    <w:rsid w:val="356E7576"/>
    <w:rsid w:val="35700359"/>
    <w:rsid w:val="357E574F"/>
    <w:rsid w:val="35890A90"/>
    <w:rsid w:val="35B968D5"/>
    <w:rsid w:val="35BD0BF4"/>
    <w:rsid w:val="35C11D99"/>
    <w:rsid w:val="35C86AFD"/>
    <w:rsid w:val="35D02CD5"/>
    <w:rsid w:val="35D36656"/>
    <w:rsid w:val="35DC19DE"/>
    <w:rsid w:val="35F535E2"/>
    <w:rsid w:val="35F7344F"/>
    <w:rsid w:val="35FC48CB"/>
    <w:rsid w:val="36012E4A"/>
    <w:rsid w:val="362F25FF"/>
    <w:rsid w:val="363B695C"/>
    <w:rsid w:val="36442C5C"/>
    <w:rsid w:val="36581A35"/>
    <w:rsid w:val="36611F8E"/>
    <w:rsid w:val="3662695B"/>
    <w:rsid w:val="367774C5"/>
    <w:rsid w:val="36892670"/>
    <w:rsid w:val="36AB70A4"/>
    <w:rsid w:val="36C4000C"/>
    <w:rsid w:val="36D033D0"/>
    <w:rsid w:val="36D7387D"/>
    <w:rsid w:val="36EB2A36"/>
    <w:rsid w:val="36F32FEF"/>
    <w:rsid w:val="37076A9B"/>
    <w:rsid w:val="37157A25"/>
    <w:rsid w:val="37217D45"/>
    <w:rsid w:val="37266245"/>
    <w:rsid w:val="373F0473"/>
    <w:rsid w:val="374D4B72"/>
    <w:rsid w:val="37536D06"/>
    <w:rsid w:val="37743B10"/>
    <w:rsid w:val="37956C8D"/>
    <w:rsid w:val="379F50A3"/>
    <w:rsid w:val="37AF670B"/>
    <w:rsid w:val="37C25D5A"/>
    <w:rsid w:val="37C47199"/>
    <w:rsid w:val="37F05E6D"/>
    <w:rsid w:val="37FA0125"/>
    <w:rsid w:val="380C532F"/>
    <w:rsid w:val="381B0DE9"/>
    <w:rsid w:val="38263643"/>
    <w:rsid w:val="383743CB"/>
    <w:rsid w:val="38511E59"/>
    <w:rsid w:val="38576CC7"/>
    <w:rsid w:val="386A7455"/>
    <w:rsid w:val="387E60D5"/>
    <w:rsid w:val="388859B9"/>
    <w:rsid w:val="388C423E"/>
    <w:rsid w:val="388D39E8"/>
    <w:rsid w:val="38914087"/>
    <w:rsid w:val="38A5349C"/>
    <w:rsid w:val="38B10FF0"/>
    <w:rsid w:val="38C91C5E"/>
    <w:rsid w:val="38D361C4"/>
    <w:rsid w:val="38DF2AD8"/>
    <w:rsid w:val="38F34952"/>
    <w:rsid w:val="390D7A16"/>
    <w:rsid w:val="39184F8F"/>
    <w:rsid w:val="391F3BA0"/>
    <w:rsid w:val="3929719C"/>
    <w:rsid w:val="393B11FD"/>
    <w:rsid w:val="39552486"/>
    <w:rsid w:val="395F3679"/>
    <w:rsid w:val="396E516C"/>
    <w:rsid w:val="396F3FE0"/>
    <w:rsid w:val="39CC4BD3"/>
    <w:rsid w:val="39D7508B"/>
    <w:rsid w:val="39E60CF1"/>
    <w:rsid w:val="39FF332F"/>
    <w:rsid w:val="3A0F7C15"/>
    <w:rsid w:val="3A765B1C"/>
    <w:rsid w:val="3A8B1695"/>
    <w:rsid w:val="3A99087F"/>
    <w:rsid w:val="3A9B4B98"/>
    <w:rsid w:val="3AB13F68"/>
    <w:rsid w:val="3AC43F81"/>
    <w:rsid w:val="3AC6427D"/>
    <w:rsid w:val="3AD91555"/>
    <w:rsid w:val="3B1C1191"/>
    <w:rsid w:val="3B330FA9"/>
    <w:rsid w:val="3B383CE4"/>
    <w:rsid w:val="3B4A21A5"/>
    <w:rsid w:val="3B4B30E4"/>
    <w:rsid w:val="3B582ADE"/>
    <w:rsid w:val="3B7A3CDF"/>
    <w:rsid w:val="3B8475DB"/>
    <w:rsid w:val="3B8A4D3D"/>
    <w:rsid w:val="3B8C59E9"/>
    <w:rsid w:val="3B901FDB"/>
    <w:rsid w:val="3BB56AC5"/>
    <w:rsid w:val="3BBB129E"/>
    <w:rsid w:val="3BBD1E1E"/>
    <w:rsid w:val="3BD04539"/>
    <w:rsid w:val="3BDB1F1E"/>
    <w:rsid w:val="3BE05B0C"/>
    <w:rsid w:val="3BF02833"/>
    <w:rsid w:val="3BF35D25"/>
    <w:rsid w:val="3BF826C6"/>
    <w:rsid w:val="3C272EE5"/>
    <w:rsid w:val="3C2E45C3"/>
    <w:rsid w:val="3C370201"/>
    <w:rsid w:val="3C6621B5"/>
    <w:rsid w:val="3C8A1F3D"/>
    <w:rsid w:val="3C9A0631"/>
    <w:rsid w:val="3C9C0160"/>
    <w:rsid w:val="3CA12C30"/>
    <w:rsid w:val="3CA37266"/>
    <w:rsid w:val="3CA77943"/>
    <w:rsid w:val="3CBA2B95"/>
    <w:rsid w:val="3CCD76FD"/>
    <w:rsid w:val="3CFA067B"/>
    <w:rsid w:val="3D2A2A63"/>
    <w:rsid w:val="3D35720B"/>
    <w:rsid w:val="3D45031D"/>
    <w:rsid w:val="3D45768F"/>
    <w:rsid w:val="3D522955"/>
    <w:rsid w:val="3D652AF5"/>
    <w:rsid w:val="3D683ED3"/>
    <w:rsid w:val="3D6E2D4A"/>
    <w:rsid w:val="3D830DE3"/>
    <w:rsid w:val="3D8D6E96"/>
    <w:rsid w:val="3DA10828"/>
    <w:rsid w:val="3DA94AB5"/>
    <w:rsid w:val="3DD864B2"/>
    <w:rsid w:val="3DE60D3A"/>
    <w:rsid w:val="3DEB4DD5"/>
    <w:rsid w:val="3DEC2DC3"/>
    <w:rsid w:val="3DF064DB"/>
    <w:rsid w:val="3E2F19BD"/>
    <w:rsid w:val="3E317AA1"/>
    <w:rsid w:val="3E33432C"/>
    <w:rsid w:val="3E350A04"/>
    <w:rsid w:val="3E497961"/>
    <w:rsid w:val="3E5D232A"/>
    <w:rsid w:val="3E7934F6"/>
    <w:rsid w:val="3E854E75"/>
    <w:rsid w:val="3E8F2EEC"/>
    <w:rsid w:val="3EA17F03"/>
    <w:rsid w:val="3EAC1BA8"/>
    <w:rsid w:val="3EAE27B2"/>
    <w:rsid w:val="3EB91585"/>
    <w:rsid w:val="3ECC512D"/>
    <w:rsid w:val="3EFB4C63"/>
    <w:rsid w:val="3F05646B"/>
    <w:rsid w:val="3F394A59"/>
    <w:rsid w:val="3F596368"/>
    <w:rsid w:val="3F656737"/>
    <w:rsid w:val="3F6F78D3"/>
    <w:rsid w:val="3F78142E"/>
    <w:rsid w:val="3F7B446F"/>
    <w:rsid w:val="3FA27951"/>
    <w:rsid w:val="3FA95975"/>
    <w:rsid w:val="3FA97382"/>
    <w:rsid w:val="3FD97B13"/>
    <w:rsid w:val="3FDB2873"/>
    <w:rsid w:val="3FF152D3"/>
    <w:rsid w:val="401F5E62"/>
    <w:rsid w:val="402D5C6C"/>
    <w:rsid w:val="403D24A9"/>
    <w:rsid w:val="40412016"/>
    <w:rsid w:val="405109A7"/>
    <w:rsid w:val="405E1390"/>
    <w:rsid w:val="407C1610"/>
    <w:rsid w:val="40A73B7C"/>
    <w:rsid w:val="40BE323D"/>
    <w:rsid w:val="40C70E17"/>
    <w:rsid w:val="40CB7E21"/>
    <w:rsid w:val="40DC0997"/>
    <w:rsid w:val="40DD66F1"/>
    <w:rsid w:val="40E274B2"/>
    <w:rsid w:val="40EC604C"/>
    <w:rsid w:val="41071F37"/>
    <w:rsid w:val="41450204"/>
    <w:rsid w:val="41581085"/>
    <w:rsid w:val="415C2A14"/>
    <w:rsid w:val="415E3DEE"/>
    <w:rsid w:val="41715B61"/>
    <w:rsid w:val="419B425E"/>
    <w:rsid w:val="41A0633F"/>
    <w:rsid w:val="41C2753B"/>
    <w:rsid w:val="41D107F1"/>
    <w:rsid w:val="41EF0C01"/>
    <w:rsid w:val="42037FDF"/>
    <w:rsid w:val="4207373C"/>
    <w:rsid w:val="421E1F63"/>
    <w:rsid w:val="422229DB"/>
    <w:rsid w:val="425C2E63"/>
    <w:rsid w:val="428624B3"/>
    <w:rsid w:val="4293360A"/>
    <w:rsid w:val="42EB3614"/>
    <w:rsid w:val="42EE1974"/>
    <w:rsid w:val="43065417"/>
    <w:rsid w:val="435E5A7C"/>
    <w:rsid w:val="436C03B1"/>
    <w:rsid w:val="43844D5E"/>
    <w:rsid w:val="4387670B"/>
    <w:rsid w:val="43B37B6D"/>
    <w:rsid w:val="43BA1E12"/>
    <w:rsid w:val="43BC3E2D"/>
    <w:rsid w:val="43F52595"/>
    <w:rsid w:val="440F262B"/>
    <w:rsid w:val="44221D0A"/>
    <w:rsid w:val="44257813"/>
    <w:rsid w:val="444A65F8"/>
    <w:rsid w:val="444F3424"/>
    <w:rsid w:val="446E2CF6"/>
    <w:rsid w:val="446E5ACC"/>
    <w:rsid w:val="44703ED1"/>
    <w:rsid w:val="44944CF3"/>
    <w:rsid w:val="44A71236"/>
    <w:rsid w:val="44AF428E"/>
    <w:rsid w:val="44B06C32"/>
    <w:rsid w:val="44B21761"/>
    <w:rsid w:val="44B9151A"/>
    <w:rsid w:val="44B92F7E"/>
    <w:rsid w:val="44C646BA"/>
    <w:rsid w:val="44D135FD"/>
    <w:rsid w:val="44E24086"/>
    <w:rsid w:val="44F0134A"/>
    <w:rsid w:val="45010C14"/>
    <w:rsid w:val="45043849"/>
    <w:rsid w:val="450B590C"/>
    <w:rsid w:val="45113C25"/>
    <w:rsid w:val="45202D5E"/>
    <w:rsid w:val="45255713"/>
    <w:rsid w:val="45462E84"/>
    <w:rsid w:val="45476B10"/>
    <w:rsid w:val="454D70E8"/>
    <w:rsid w:val="455C783D"/>
    <w:rsid w:val="456A118A"/>
    <w:rsid w:val="457660C3"/>
    <w:rsid w:val="457E617A"/>
    <w:rsid w:val="45943F85"/>
    <w:rsid w:val="45A977F4"/>
    <w:rsid w:val="45AB71EE"/>
    <w:rsid w:val="45C258EF"/>
    <w:rsid w:val="45CF2E79"/>
    <w:rsid w:val="45D548E7"/>
    <w:rsid w:val="45E54760"/>
    <w:rsid w:val="45E701C3"/>
    <w:rsid w:val="45F75F8D"/>
    <w:rsid w:val="461530AA"/>
    <w:rsid w:val="46431B88"/>
    <w:rsid w:val="4646319B"/>
    <w:rsid w:val="464D7DD2"/>
    <w:rsid w:val="467C1557"/>
    <w:rsid w:val="46832FC9"/>
    <w:rsid w:val="468C3D57"/>
    <w:rsid w:val="46916FFA"/>
    <w:rsid w:val="469346CF"/>
    <w:rsid w:val="46951EF0"/>
    <w:rsid w:val="46F030A7"/>
    <w:rsid w:val="46F061C2"/>
    <w:rsid w:val="470F1CC0"/>
    <w:rsid w:val="47371E79"/>
    <w:rsid w:val="474C0085"/>
    <w:rsid w:val="474E52A2"/>
    <w:rsid w:val="475373AA"/>
    <w:rsid w:val="47755C62"/>
    <w:rsid w:val="47847304"/>
    <w:rsid w:val="47890232"/>
    <w:rsid w:val="478F049B"/>
    <w:rsid w:val="47A0687C"/>
    <w:rsid w:val="47B75A71"/>
    <w:rsid w:val="47C43882"/>
    <w:rsid w:val="47DC17D4"/>
    <w:rsid w:val="47E930C9"/>
    <w:rsid w:val="48137E7D"/>
    <w:rsid w:val="48154007"/>
    <w:rsid w:val="48382AE4"/>
    <w:rsid w:val="48406FA3"/>
    <w:rsid w:val="489902CA"/>
    <w:rsid w:val="48A11EBC"/>
    <w:rsid w:val="48A26503"/>
    <w:rsid w:val="48BA03CD"/>
    <w:rsid w:val="48D013E2"/>
    <w:rsid w:val="48DE2D4F"/>
    <w:rsid w:val="48E742C0"/>
    <w:rsid w:val="490A1FD4"/>
    <w:rsid w:val="4913067C"/>
    <w:rsid w:val="491E32A5"/>
    <w:rsid w:val="49221512"/>
    <w:rsid w:val="492F39F3"/>
    <w:rsid w:val="494F04B7"/>
    <w:rsid w:val="49565BD2"/>
    <w:rsid w:val="495925FC"/>
    <w:rsid w:val="497D51F6"/>
    <w:rsid w:val="498D65A7"/>
    <w:rsid w:val="499B3AFA"/>
    <w:rsid w:val="49A315E5"/>
    <w:rsid w:val="49A87567"/>
    <w:rsid w:val="49B0428E"/>
    <w:rsid w:val="49BC6FEF"/>
    <w:rsid w:val="49BE6190"/>
    <w:rsid w:val="49D21C49"/>
    <w:rsid w:val="49E669B0"/>
    <w:rsid w:val="49EF0333"/>
    <w:rsid w:val="49F8697B"/>
    <w:rsid w:val="4A0070CF"/>
    <w:rsid w:val="4A217E97"/>
    <w:rsid w:val="4A340129"/>
    <w:rsid w:val="4A36439D"/>
    <w:rsid w:val="4A4F773C"/>
    <w:rsid w:val="4A654D88"/>
    <w:rsid w:val="4A741CB1"/>
    <w:rsid w:val="4A891FE9"/>
    <w:rsid w:val="4AAA44E0"/>
    <w:rsid w:val="4AB07459"/>
    <w:rsid w:val="4ABF026E"/>
    <w:rsid w:val="4AC05487"/>
    <w:rsid w:val="4AE42F23"/>
    <w:rsid w:val="4AEB71FE"/>
    <w:rsid w:val="4B104211"/>
    <w:rsid w:val="4B3D17B4"/>
    <w:rsid w:val="4B52656D"/>
    <w:rsid w:val="4B550C98"/>
    <w:rsid w:val="4B5D1235"/>
    <w:rsid w:val="4B7A0BDB"/>
    <w:rsid w:val="4B814782"/>
    <w:rsid w:val="4BAE0B57"/>
    <w:rsid w:val="4BD213B8"/>
    <w:rsid w:val="4BE25DD6"/>
    <w:rsid w:val="4BEB3747"/>
    <w:rsid w:val="4BF81F96"/>
    <w:rsid w:val="4C082C46"/>
    <w:rsid w:val="4C0A4047"/>
    <w:rsid w:val="4C226E80"/>
    <w:rsid w:val="4C2E1330"/>
    <w:rsid w:val="4C382A7C"/>
    <w:rsid w:val="4C57636F"/>
    <w:rsid w:val="4C7C5628"/>
    <w:rsid w:val="4C9465D9"/>
    <w:rsid w:val="4CC72028"/>
    <w:rsid w:val="4CCC284F"/>
    <w:rsid w:val="4CF563B0"/>
    <w:rsid w:val="4CFC4084"/>
    <w:rsid w:val="4D026BAF"/>
    <w:rsid w:val="4D0F1DAD"/>
    <w:rsid w:val="4D1140D2"/>
    <w:rsid w:val="4D3735C1"/>
    <w:rsid w:val="4D4210BA"/>
    <w:rsid w:val="4D4245FA"/>
    <w:rsid w:val="4D875744"/>
    <w:rsid w:val="4D8F006A"/>
    <w:rsid w:val="4D9614C1"/>
    <w:rsid w:val="4DA35439"/>
    <w:rsid w:val="4DAE3069"/>
    <w:rsid w:val="4E3442AD"/>
    <w:rsid w:val="4E3B3EF4"/>
    <w:rsid w:val="4E66601E"/>
    <w:rsid w:val="4E693A6D"/>
    <w:rsid w:val="4E875C77"/>
    <w:rsid w:val="4E91747C"/>
    <w:rsid w:val="4E9911A4"/>
    <w:rsid w:val="4EA165C5"/>
    <w:rsid w:val="4EAA062D"/>
    <w:rsid w:val="4EAA6232"/>
    <w:rsid w:val="4EAB17F8"/>
    <w:rsid w:val="4EAE066A"/>
    <w:rsid w:val="4ECA59E1"/>
    <w:rsid w:val="4EF94AC3"/>
    <w:rsid w:val="4F047E60"/>
    <w:rsid w:val="4F11338D"/>
    <w:rsid w:val="4F385221"/>
    <w:rsid w:val="4F4A2B75"/>
    <w:rsid w:val="4F57662F"/>
    <w:rsid w:val="4F5D53FF"/>
    <w:rsid w:val="4F797BF4"/>
    <w:rsid w:val="4F832C7B"/>
    <w:rsid w:val="4F8D236E"/>
    <w:rsid w:val="4FA437F8"/>
    <w:rsid w:val="4FB27486"/>
    <w:rsid w:val="4FE127EC"/>
    <w:rsid w:val="4FE86AA0"/>
    <w:rsid w:val="4FF450D6"/>
    <w:rsid w:val="5016440D"/>
    <w:rsid w:val="503D4391"/>
    <w:rsid w:val="504A0026"/>
    <w:rsid w:val="504D43C3"/>
    <w:rsid w:val="505B4193"/>
    <w:rsid w:val="505F23B7"/>
    <w:rsid w:val="50642410"/>
    <w:rsid w:val="506A47BE"/>
    <w:rsid w:val="507C4860"/>
    <w:rsid w:val="50895925"/>
    <w:rsid w:val="509A649A"/>
    <w:rsid w:val="509C3F96"/>
    <w:rsid w:val="50A61E6C"/>
    <w:rsid w:val="50B96942"/>
    <w:rsid w:val="50BC7803"/>
    <w:rsid w:val="50C166B3"/>
    <w:rsid w:val="50C370DB"/>
    <w:rsid w:val="50E16B7B"/>
    <w:rsid w:val="50E56C67"/>
    <w:rsid w:val="50FC089B"/>
    <w:rsid w:val="51002139"/>
    <w:rsid w:val="51053BF3"/>
    <w:rsid w:val="510B6644"/>
    <w:rsid w:val="511A711E"/>
    <w:rsid w:val="513850AE"/>
    <w:rsid w:val="51426C00"/>
    <w:rsid w:val="514309A2"/>
    <w:rsid w:val="514E6CC4"/>
    <w:rsid w:val="515F660F"/>
    <w:rsid w:val="5193377D"/>
    <w:rsid w:val="51A42849"/>
    <w:rsid w:val="51BC08B3"/>
    <w:rsid w:val="51D27C8B"/>
    <w:rsid w:val="51DF71CF"/>
    <w:rsid w:val="51EE0604"/>
    <w:rsid w:val="51F66410"/>
    <w:rsid w:val="520F5C4F"/>
    <w:rsid w:val="52127AE1"/>
    <w:rsid w:val="521B0BCD"/>
    <w:rsid w:val="52225C90"/>
    <w:rsid w:val="52293911"/>
    <w:rsid w:val="522E54C3"/>
    <w:rsid w:val="525018F4"/>
    <w:rsid w:val="5251233B"/>
    <w:rsid w:val="526828D5"/>
    <w:rsid w:val="528374C6"/>
    <w:rsid w:val="529326E4"/>
    <w:rsid w:val="52B25377"/>
    <w:rsid w:val="52C55B30"/>
    <w:rsid w:val="52C62A6F"/>
    <w:rsid w:val="52D2754B"/>
    <w:rsid w:val="52D337C7"/>
    <w:rsid w:val="53041EA4"/>
    <w:rsid w:val="530432C9"/>
    <w:rsid w:val="53055176"/>
    <w:rsid w:val="53073328"/>
    <w:rsid w:val="530D2E41"/>
    <w:rsid w:val="5316268B"/>
    <w:rsid w:val="532058B7"/>
    <w:rsid w:val="53405FEB"/>
    <w:rsid w:val="5346377E"/>
    <w:rsid w:val="5359507A"/>
    <w:rsid w:val="535D6E20"/>
    <w:rsid w:val="537A68E4"/>
    <w:rsid w:val="537D70F7"/>
    <w:rsid w:val="53817F92"/>
    <w:rsid w:val="538453FD"/>
    <w:rsid w:val="538F59F6"/>
    <w:rsid w:val="539E5E24"/>
    <w:rsid w:val="53AA2830"/>
    <w:rsid w:val="53DF7636"/>
    <w:rsid w:val="53EF44DF"/>
    <w:rsid w:val="53FE1A68"/>
    <w:rsid w:val="54034EDF"/>
    <w:rsid w:val="540A3D00"/>
    <w:rsid w:val="54103420"/>
    <w:rsid w:val="54225725"/>
    <w:rsid w:val="54244390"/>
    <w:rsid w:val="54331A41"/>
    <w:rsid w:val="54405211"/>
    <w:rsid w:val="54685809"/>
    <w:rsid w:val="547170C4"/>
    <w:rsid w:val="549D611F"/>
    <w:rsid w:val="54A742BF"/>
    <w:rsid w:val="54BE3E81"/>
    <w:rsid w:val="54EA3045"/>
    <w:rsid w:val="54ED4CC9"/>
    <w:rsid w:val="54F0010D"/>
    <w:rsid w:val="54F75FEC"/>
    <w:rsid w:val="55191A1B"/>
    <w:rsid w:val="5528550C"/>
    <w:rsid w:val="55411E7F"/>
    <w:rsid w:val="554B452E"/>
    <w:rsid w:val="554F2C54"/>
    <w:rsid w:val="555A3408"/>
    <w:rsid w:val="556C3F96"/>
    <w:rsid w:val="55A62FB9"/>
    <w:rsid w:val="55B4467F"/>
    <w:rsid w:val="55BD2CCA"/>
    <w:rsid w:val="55E57D9B"/>
    <w:rsid w:val="55F32CC9"/>
    <w:rsid w:val="560539BB"/>
    <w:rsid w:val="564947AF"/>
    <w:rsid w:val="565639E2"/>
    <w:rsid w:val="566872BE"/>
    <w:rsid w:val="56735051"/>
    <w:rsid w:val="567D741B"/>
    <w:rsid w:val="56880247"/>
    <w:rsid w:val="56C051B4"/>
    <w:rsid w:val="56D74843"/>
    <w:rsid w:val="56DD2AB7"/>
    <w:rsid w:val="56F51DCA"/>
    <w:rsid w:val="57027796"/>
    <w:rsid w:val="570F7249"/>
    <w:rsid w:val="57206DFD"/>
    <w:rsid w:val="572841C2"/>
    <w:rsid w:val="573B4E05"/>
    <w:rsid w:val="574F4350"/>
    <w:rsid w:val="57603931"/>
    <w:rsid w:val="5783281D"/>
    <w:rsid w:val="57864E2C"/>
    <w:rsid w:val="578731B9"/>
    <w:rsid w:val="57A53BC8"/>
    <w:rsid w:val="57AB43A7"/>
    <w:rsid w:val="57D775B6"/>
    <w:rsid w:val="57D96E50"/>
    <w:rsid w:val="57E82929"/>
    <w:rsid w:val="57F82CE6"/>
    <w:rsid w:val="57FD392B"/>
    <w:rsid w:val="581F3433"/>
    <w:rsid w:val="58255D3D"/>
    <w:rsid w:val="58325737"/>
    <w:rsid w:val="583352E0"/>
    <w:rsid w:val="583C2C02"/>
    <w:rsid w:val="584F5DB0"/>
    <w:rsid w:val="58667CA3"/>
    <w:rsid w:val="58C273BD"/>
    <w:rsid w:val="59166A8F"/>
    <w:rsid w:val="592310BA"/>
    <w:rsid w:val="593B0123"/>
    <w:rsid w:val="594A21B8"/>
    <w:rsid w:val="59614965"/>
    <w:rsid w:val="59685F8C"/>
    <w:rsid w:val="59835BDC"/>
    <w:rsid w:val="599E5E1E"/>
    <w:rsid w:val="59C02DAD"/>
    <w:rsid w:val="59D000DE"/>
    <w:rsid w:val="59D67037"/>
    <w:rsid w:val="59E06FAB"/>
    <w:rsid w:val="59F20A8D"/>
    <w:rsid w:val="5A094754"/>
    <w:rsid w:val="5A1A33DB"/>
    <w:rsid w:val="5A3F5F87"/>
    <w:rsid w:val="5A4F2A62"/>
    <w:rsid w:val="5A555DDB"/>
    <w:rsid w:val="5A643739"/>
    <w:rsid w:val="5A725245"/>
    <w:rsid w:val="5AA532B9"/>
    <w:rsid w:val="5ABC77FA"/>
    <w:rsid w:val="5ACF3815"/>
    <w:rsid w:val="5AD20125"/>
    <w:rsid w:val="5AE94FEA"/>
    <w:rsid w:val="5AF02F4C"/>
    <w:rsid w:val="5AF16B8B"/>
    <w:rsid w:val="5AF948CF"/>
    <w:rsid w:val="5B1E5FDD"/>
    <w:rsid w:val="5B270145"/>
    <w:rsid w:val="5B2D6D4B"/>
    <w:rsid w:val="5B365A6F"/>
    <w:rsid w:val="5B3926ED"/>
    <w:rsid w:val="5B3A2FF7"/>
    <w:rsid w:val="5B5D599B"/>
    <w:rsid w:val="5B616AFE"/>
    <w:rsid w:val="5B670EF4"/>
    <w:rsid w:val="5BA0710F"/>
    <w:rsid w:val="5BD313F2"/>
    <w:rsid w:val="5C0300DE"/>
    <w:rsid w:val="5C0B729A"/>
    <w:rsid w:val="5C161EDF"/>
    <w:rsid w:val="5C1A6DA6"/>
    <w:rsid w:val="5C6B5FEC"/>
    <w:rsid w:val="5C966F8B"/>
    <w:rsid w:val="5CA02A22"/>
    <w:rsid w:val="5CB62246"/>
    <w:rsid w:val="5CC46827"/>
    <w:rsid w:val="5CCC0368"/>
    <w:rsid w:val="5CE13327"/>
    <w:rsid w:val="5CEF1E9C"/>
    <w:rsid w:val="5D0A1D7E"/>
    <w:rsid w:val="5D0F1896"/>
    <w:rsid w:val="5D1D693C"/>
    <w:rsid w:val="5D1E09AB"/>
    <w:rsid w:val="5D25288B"/>
    <w:rsid w:val="5D2F55D3"/>
    <w:rsid w:val="5D49397D"/>
    <w:rsid w:val="5D4D6E46"/>
    <w:rsid w:val="5D6C448C"/>
    <w:rsid w:val="5D767864"/>
    <w:rsid w:val="5D7E19A2"/>
    <w:rsid w:val="5D846366"/>
    <w:rsid w:val="5D8843D3"/>
    <w:rsid w:val="5D951769"/>
    <w:rsid w:val="5DC31B74"/>
    <w:rsid w:val="5DCE6AA6"/>
    <w:rsid w:val="5DE12D89"/>
    <w:rsid w:val="5DE63F62"/>
    <w:rsid w:val="5DEF1EB3"/>
    <w:rsid w:val="5DFA3B35"/>
    <w:rsid w:val="5E0C2D80"/>
    <w:rsid w:val="5E152E5C"/>
    <w:rsid w:val="5E2A7705"/>
    <w:rsid w:val="5E2E4BEE"/>
    <w:rsid w:val="5E325FDE"/>
    <w:rsid w:val="5E3D1EAB"/>
    <w:rsid w:val="5E42178D"/>
    <w:rsid w:val="5E602D62"/>
    <w:rsid w:val="5E622B84"/>
    <w:rsid w:val="5E8109B6"/>
    <w:rsid w:val="5E82799A"/>
    <w:rsid w:val="5E862826"/>
    <w:rsid w:val="5E8D1EB6"/>
    <w:rsid w:val="5E974242"/>
    <w:rsid w:val="5E9C7F6B"/>
    <w:rsid w:val="5EA67C35"/>
    <w:rsid w:val="5ED1585E"/>
    <w:rsid w:val="5EDA7A3F"/>
    <w:rsid w:val="5EDB7A10"/>
    <w:rsid w:val="5EF6399C"/>
    <w:rsid w:val="5F277F01"/>
    <w:rsid w:val="5F3149FA"/>
    <w:rsid w:val="5F335E50"/>
    <w:rsid w:val="5F4714AF"/>
    <w:rsid w:val="5F4F4C9B"/>
    <w:rsid w:val="5F5815AD"/>
    <w:rsid w:val="5FA27F6A"/>
    <w:rsid w:val="5FA31B0C"/>
    <w:rsid w:val="5FD70E51"/>
    <w:rsid w:val="5FE601A9"/>
    <w:rsid w:val="600E1AF8"/>
    <w:rsid w:val="60321ACA"/>
    <w:rsid w:val="60466C1C"/>
    <w:rsid w:val="604C10C4"/>
    <w:rsid w:val="604D65FA"/>
    <w:rsid w:val="60681A4F"/>
    <w:rsid w:val="606E3212"/>
    <w:rsid w:val="607520EE"/>
    <w:rsid w:val="60752DE8"/>
    <w:rsid w:val="60A139B1"/>
    <w:rsid w:val="60A4738B"/>
    <w:rsid w:val="60B46BB6"/>
    <w:rsid w:val="60C80886"/>
    <w:rsid w:val="60D103F0"/>
    <w:rsid w:val="60E32A0E"/>
    <w:rsid w:val="610637C1"/>
    <w:rsid w:val="610D1CB0"/>
    <w:rsid w:val="613F6346"/>
    <w:rsid w:val="615C2806"/>
    <w:rsid w:val="616E6AF6"/>
    <w:rsid w:val="618F19E3"/>
    <w:rsid w:val="61AD5C3C"/>
    <w:rsid w:val="61AE6265"/>
    <w:rsid w:val="61B1027E"/>
    <w:rsid w:val="61B25914"/>
    <w:rsid w:val="61B4303D"/>
    <w:rsid w:val="61B52BB6"/>
    <w:rsid w:val="61DA77F5"/>
    <w:rsid w:val="61DC0116"/>
    <w:rsid w:val="622B0A57"/>
    <w:rsid w:val="623043CD"/>
    <w:rsid w:val="624B0019"/>
    <w:rsid w:val="624D5AFB"/>
    <w:rsid w:val="62732A6E"/>
    <w:rsid w:val="628761BC"/>
    <w:rsid w:val="62956060"/>
    <w:rsid w:val="62B4034B"/>
    <w:rsid w:val="62C1154E"/>
    <w:rsid w:val="62F330C9"/>
    <w:rsid w:val="631D066F"/>
    <w:rsid w:val="632A4309"/>
    <w:rsid w:val="63314A9E"/>
    <w:rsid w:val="63441180"/>
    <w:rsid w:val="634A7E41"/>
    <w:rsid w:val="6361115D"/>
    <w:rsid w:val="63621685"/>
    <w:rsid w:val="63676048"/>
    <w:rsid w:val="6371312F"/>
    <w:rsid w:val="63807F43"/>
    <w:rsid w:val="638E6C7F"/>
    <w:rsid w:val="63932CB3"/>
    <w:rsid w:val="6393435B"/>
    <w:rsid w:val="63972183"/>
    <w:rsid w:val="639C3707"/>
    <w:rsid w:val="639D6A83"/>
    <w:rsid w:val="63A94F69"/>
    <w:rsid w:val="63CC0308"/>
    <w:rsid w:val="63DB4B19"/>
    <w:rsid w:val="63F738C6"/>
    <w:rsid w:val="64370FE9"/>
    <w:rsid w:val="643F2096"/>
    <w:rsid w:val="64572560"/>
    <w:rsid w:val="646D1DA4"/>
    <w:rsid w:val="64776CFD"/>
    <w:rsid w:val="64874122"/>
    <w:rsid w:val="64AC3F98"/>
    <w:rsid w:val="64BE2493"/>
    <w:rsid w:val="64EB6479"/>
    <w:rsid w:val="64F12205"/>
    <w:rsid w:val="64F41B5D"/>
    <w:rsid w:val="64FA28A8"/>
    <w:rsid w:val="64FF2FA6"/>
    <w:rsid w:val="65010E01"/>
    <w:rsid w:val="65122C1F"/>
    <w:rsid w:val="651C687D"/>
    <w:rsid w:val="652865C6"/>
    <w:rsid w:val="6553608E"/>
    <w:rsid w:val="6558033E"/>
    <w:rsid w:val="655D7702"/>
    <w:rsid w:val="65626DAD"/>
    <w:rsid w:val="65787AB2"/>
    <w:rsid w:val="65870426"/>
    <w:rsid w:val="65CF1B27"/>
    <w:rsid w:val="65D32E83"/>
    <w:rsid w:val="65E17231"/>
    <w:rsid w:val="65E3312C"/>
    <w:rsid w:val="65FA5E6F"/>
    <w:rsid w:val="65FA7404"/>
    <w:rsid w:val="66115A26"/>
    <w:rsid w:val="661E06BE"/>
    <w:rsid w:val="66216F29"/>
    <w:rsid w:val="66257626"/>
    <w:rsid w:val="6629174D"/>
    <w:rsid w:val="663509C0"/>
    <w:rsid w:val="664D4CE9"/>
    <w:rsid w:val="66525B15"/>
    <w:rsid w:val="66654D69"/>
    <w:rsid w:val="667024DC"/>
    <w:rsid w:val="6672290A"/>
    <w:rsid w:val="66741262"/>
    <w:rsid w:val="668313EA"/>
    <w:rsid w:val="668E25EB"/>
    <w:rsid w:val="6695000B"/>
    <w:rsid w:val="66A23F66"/>
    <w:rsid w:val="66A6034C"/>
    <w:rsid w:val="66B27A63"/>
    <w:rsid w:val="66BF08AB"/>
    <w:rsid w:val="66E9348D"/>
    <w:rsid w:val="66EE416C"/>
    <w:rsid w:val="66F66622"/>
    <w:rsid w:val="66F97E2E"/>
    <w:rsid w:val="67001E68"/>
    <w:rsid w:val="67006F47"/>
    <w:rsid w:val="67203489"/>
    <w:rsid w:val="673222BF"/>
    <w:rsid w:val="67333B53"/>
    <w:rsid w:val="67361A2A"/>
    <w:rsid w:val="67485E9C"/>
    <w:rsid w:val="67521C47"/>
    <w:rsid w:val="67542D87"/>
    <w:rsid w:val="675F710B"/>
    <w:rsid w:val="676825AC"/>
    <w:rsid w:val="67A1421E"/>
    <w:rsid w:val="67B10BD0"/>
    <w:rsid w:val="67B553B3"/>
    <w:rsid w:val="67D03329"/>
    <w:rsid w:val="67F522E2"/>
    <w:rsid w:val="680C14BD"/>
    <w:rsid w:val="680E1188"/>
    <w:rsid w:val="681C5796"/>
    <w:rsid w:val="68445A60"/>
    <w:rsid w:val="685F069C"/>
    <w:rsid w:val="686673F9"/>
    <w:rsid w:val="68994F23"/>
    <w:rsid w:val="68AA0478"/>
    <w:rsid w:val="68D343DA"/>
    <w:rsid w:val="68E20FDC"/>
    <w:rsid w:val="68E32729"/>
    <w:rsid w:val="68E45807"/>
    <w:rsid w:val="68EA0C34"/>
    <w:rsid w:val="68F44DB0"/>
    <w:rsid w:val="68F648BA"/>
    <w:rsid w:val="69086655"/>
    <w:rsid w:val="69101260"/>
    <w:rsid w:val="69166295"/>
    <w:rsid w:val="691B47B1"/>
    <w:rsid w:val="691E4E7F"/>
    <w:rsid w:val="69434651"/>
    <w:rsid w:val="6948574C"/>
    <w:rsid w:val="69781A75"/>
    <w:rsid w:val="69796DAF"/>
    <w:rsid w:val="697C05C7"/>
    <w:rsid w:val="697D1462"/>
    <w:rsid w:val="69B24A1C"/>
    <w:rsid w:val="69B461FD"/>
    <w:rsid w:val="69BF3DD0"/>
    <w:rsid w:val="69D51BEE"/>
    <w:rsid w:val="69E161CC"/>
    <w:rsid w:val="6A0D4001"/>
    <w:rsid w:val="6A294863"/>
    <w:rsid w:val="6A305071"/>
    <w:rsid w:val="6A32027A"/>
    <w:rsid w:val="6A3D30F5"/>
    <w:rsid w:val="6A415844"/>
    <w:rsid w:val="6A417EB4"/>
    <w:rsid w:val="6A4E0D05"/>
    <w:rsid w:val="6A516877"/>
    <w:rsid w:val="6A840328"/>
    <w:rsid w:val="6A8B5011"/>
    <w:rsid w:val="6A8C6F4A"/>
    <w:rsid w:val="6A93688C"/>
    <w:rsid w:val="6A9A31A7"/>
    <w:rsid w:val="6ABC5FD2"/>
    <w:rsid w:val="6AD30048"/>
    <w:rsid w:val="6AEC536A"/>
    <w:rsid w:val="6B032AFA"/>
    <w:rsid w:val="6B034C32"/>
    <w:rsid w:val="6B0B59DD"/>
    <w:rsid w:val="6B373847"/>
    <w:rsid w:val="6B3A5ED8"/>
    <w:rsid w:val="6B3B7C32"/>
    <w:rsid w:val="6B416B47"/>
    <w:rsid w:val="6B4B1690"/>
    <w:rsid w:val="6B566E2E"/>
    <w:rsid w:val="6B9D4CFC"/>
    <w:rsid w:val="6BAA79DA"/>
    <w:rsid w:val="6BE01E7C"/>
    <w:rsid w:val="6BE93FA3"/>
    <w:rsid w:val="6C003890"/>
    <w:rsid w:val="6C024A59"/>
    <w:rsid w:val="6C203025"/>
    <w:rsid w:val="6C3A4020"/>
    <w:rsid w:val="6C465412"/>
    <w:rsid w:val="6C4758A0"/>
    <w:rsid w:val="6C5F55CD"/>
    <w:rsid w:val="6C615D2A"/>
    <w:rsid w:val="6C6F313E"/>
    <w:rsid w:val="6C8E2B5A"/>
    <w:rsid w:val="6CB71AAF"/>
    <w:rsid w:val="6CBB74A0"/>
    <w:rsid w:val="6CDF4D9D"/>
    <w:rsid w:val="6CED637A"/>
    <w:rsid w:val="6D0614E4"/>
    <w:rsid w:val="6D273E5C"/>
    <w:rsid w:val="6D5124D6"/>
    <w:rsid w:val="6D5835D1"/>
    <w:rsid w:val="6D64344D"/>
    <w:rsid w:val="6D6B6D90"/>
    <w:rsid w:val="6D6D46A4"/>
    <w:rsid w:val="6D736DCD"/>
    <w:rsid w:val="6D747B77"/>
    <w:rsid w:val="6D8D02AA"/>
    <w:rsid w:val="6D9F5E19"/>
    <w:rsid w:val="6DD06097"/>
    <w:rsid w:val="6DD07831"/>
    <w:rsid w:val="6DE23E9A"/>
    <w:rsid w:val="6DFB31E0"/>
    <w:rsid w:val="6E1312A6"/>
    <w:rsid w:val="6E145BDC"/>
    <w:rsid w:val="6E301E58"/>
    <w:rsid w:val="6E356DC5"/>
    <w:rsid w:val="6E4566DE"/>
    <w:rsid w:val="6E5A1434"/>
    <w:rsid w:val="6E6225BC"/>
    <w:rsid w:val="6E763713"/>
    <w:rsid w:val="6E795871"/>
    <w:rsid w:val="6E7B13A8"/>
    <w:rsid w:val="6E9B03C3"/>
    <w:rsid w:val="6EB164F9"/>
    <w:rsid w:val="6EC6120B"/>
    <w:rsid w:val="6EC815E1"/>
    <w:rsid w:val="6ED17F59"/>
    <w:rsid w:val="6EDD79F7"/>
    <w:rsid w:val="6EEC4125"/>
    <w:rsid w:val="6EFA0761"/>
    <w:rsid w:val="6F174EE5"/>
    <w:rsid w:val="6F300BD5"/>
    <w:rsid w:val="6F370494"/>
    <w:rsid w:val="6F3901BD"/>
    <w:rsid w:val="6F3E05A4"/>
    <w:rsid w:val="6F503AB0"/>
    <w:rsid w:val="6F5E41A3"/>
    <w:rsid w:val="6F8E1CEB"/>
    <w:rsid w:val="6F96789F"/>
    <w:rsid w:val="6FB3404B"/>
    <w:rsid w:val="6FE43AD6"/>
    <w:rsid w:val="6FED6440"/>
    <w:rsid w:val="700015AF"/>
    <w:rsid w:val="70034CD2"/>
    <w:rsid w:val="70155C8C"/>
    <w:rsid w:val="70287A21"/>
    <w:rsid w:val="70297E02"/>
    <w:rsid w:val="702A5A03"/>
    <w:rsid w:val="702D5B35"/>
    <w:rsid w:val="70343AB4"/>
    <w:rsid w:val="70392154"/>
    <w:rsid w:val="70597ECA"/>
    <w:rsid w:val="70691651"/>
    <w:rsid w:val="70757595"/>
    <w:rsid w:val="70822713"/>
    <w:rsid w:val="70AD421D"/>
    <w:rsid w:val="70BD2F82"/>
    <w:rsid w:val="70D81CAB"/>
    <w:rsid w:val="70F12281"/>
    <w:rsid w:val="71351FC9"/>
    <w:rsid w:val="71424F0A"/>
    <w:rsid w:val="71510670"/>
    <w:rsid w:val="717D0149"/>
    <w:rsid w:val="71813B9F"/>
    <w:rsid w:val="71AA65C2"/>
    <w:rsid w:val="71AF3203"/>
    <w:rsid w:val="71CC0A0F"/>
    <w:rsid w:val="71D4633C"/>
    <w:rsid w:val="71E30916"/>
    <w:rsid w:val="71EA3503"/>
    <w:rsid w:val="71F763C6"/>
    <w:rsid w:val="720129FC"/>
    <w:rsid w:val="720267F8"/>
    <w:rsid w:val="72072AF9"/>
    <w:rsid w:val="720A69D2"/>
    <w:rsid w:val="720B620B"/>
    <w:rsid w:val="72140C09"/>
    <w:rsid w:val="721E12C5"/>
    <w:rsid w:val="723864D1"/>
    <w:rsid w:val="72512D1D"/>
    <w:rsid w:val="7256109F"/>
    <w:rsid w:val="725D0DC2"/>
    <w:rsid w:val="725E6838"/>
    <w:rsid w:val="726E774E"/>
    <w:rsid w:val="72917C7F"/>
    <w:rsid w:val="7294112B"/>
    <w:rsid w:val="72985EA8"/>
    <w:rsid w:val="72AA66D2"/>
    <w:rsid w:val="72B00CF4"/>
    <w:rsid w:val="72B741FC"/>
    <w:rsid w:val="72BD5C84"/>
    <w:rsid w:val="72E82975"/>
    <w:rsid w:val="73014C58"/>
    <w:rsid w:val="73047FDD"/>
    <w:rsid w:val="73176C0B"/>
    <w:rsid w:val="731D5A9E"/>
    <w:rsid w:val="731E2CB7"/>
    <w:rsid w:val="7329156C"/>
    <w:rsid w:val="732B2C40"/>
    <w:rsid w:val="732E26DE"/>
    <w:rsid w:val="734F5C53"/>
    <w:rsid w:val="7359692B"/>
    <w:rsid w:val="7378216F"/>
    <w:rsid w:val="7386022E"/>
    <w:rsid w:val="73873369"/>
    <w:rsid w:val="738A6375"/>
    <w:rsid w:val="73A72518"/>
    <w:rsid w:val="73C97BCC"/>
    <w:rsid w:val="73CF7D62"/>
    <w:rsid w:val="73EA4D6A"/>
    <w:rsid w:val="73F60052"/>
    <w:rsid w:val="73F871E9"/>
    <w:rsid w:val="74031C7E"/>
    <w:rsid w:val="7425690B"/>
    <w:rsid w:val="74421798"/>
    <w:rsid w:val="744F48D4"/>
    <w:rsid w:val="745E1F3B"/>
    <w:rsid w:val="7469442E"/>
    <w:rsid w:val="746E5736"/>
    <w:rsid w:val="747D0B21"/>
    <w:rsid w:val="74951044"/>
    <w:rsid w:val="74B41C9A"/>
    <w:rsid w:val="74C35B38"/>
    <w:rsid w:val="74C427D7"/>
    <w:rsid w:val="74CD5C02"/>
    <w:rsid w:val="74E11E15"/>
    <w:rsid w:val="74F11C15"/>
    <w:rsid w:val="75536662"/>
    <w:rsid w:val="75592A47"/>
    <w:rsid w:val="7560157E"/>
    <w:rsid w:val="756C68DB"/>
    <w:rsid w:val="756D7725"/>
    <w:rsid w:val="756E7C8C"/>
    <w:rsid w:val="75932134"/>
    <w:rsid w:val="75AD70BD"/>
    <w:rsid w:val="75B00EC9"/>
    <w:rsid w:val="75B725CE"/>
    <w:rsid w:val="75D36705"/>
    <w:rsid w:val="75FD58C2"/>
    <w:rsid w:val="76043563"/>
    <w:rsid w:val="76046772"/>
    <w:rsid w:val="76067F3D"/>
    <w:rsid w:val="763175CA"/>
    <w:rsid w:val="763444AF"/>
    <w:rsid w:val="76535DC0"/>
    <w:rsid w:val="76670FAC"/>
    <w:rsid w:val="766D176F"/>
    <w:rsid w:val="76857C85"/>
    <w:rsid w:val="76955C7E"/>
    <w:rsid w:val="769976A8"/>
    <w:rsid w:val="769E5CCF"/>
    <w:rsid w:val="77041EC1"/>
    <w:rsid w:val="77100EAA"/>
    <w:rsid w:val="77222AAD"/>
    <w:rsid w:val="77251384"/>
    <w:rsid w:val="772549AA"/>
    <w:rsid w:val="77420E4F"/>
    <w:rsid w:val="77440A35"/>
    <w:rsid w:val="774E2C69"/>
    <w:rsid w:val="77530481"/>
    <w:rsid w:val="77542C58"/>
    <w:rsid w:val="775D2FDB"/>
    <w:rsid w:val="777509E8"/>
    <w:rsid w:val="777E249D"/>
    <w:rsid w:val="77AA0594"/>
    <w:rsid w:val="77B470C0"/>
    <w:rsid w:val="77B671D2"/>
    <w:rsid w:val="77E01C38"/>
    <w:rsid w:val="77E365C8"/>
    <w:rsid w:val="77EC01E5"/>
    <w:rsid w:val="7819595B"/>
    <w:rsid w:val="7822656D"/>
    <w:rsid w:val="782C7B34"/>
    <w:rsid w:val="78414EEF"/>
    <w:rsid w:val="785B238D"/>
    <w:rsid w:val="78755B80"/>
    <w:rsid w:val="78B53D48"/>
    <w:rsid w:val="78BD5A9D"/>
    <w:rsid w:val="78BF493E"/>
    <w:rsid w:val="78D30D86"/>
    <w:rsid w:val="78D358D3"/>
    <w:rsid w:val="78DB50B1"/>
    <w:rsid w:val="78EC62CF"/>
    <w:rsid w:val="78FE11C1"/>
    <w:rsid w:val="79154CA1"/>
    <w:rsid w:val="792376E1"/>
    <w:rsid w:val="79241C72"/>
    <w:rsid w:val="79300B3A"/>
    <w:rsid w:val="793C6915"/>
    <w:rsid w:val="79441664"/>
    <w:rsid w:val="79544638"/>
    <w:rsid w:val="79610D53"/>
    <w:rsid w:val="796309A6"/>
    <w:rsid w:val="797D7A26"/>
    <w:rsid w:val="797E41F9"/>
    <w:rsid w:val="79870D9A"/>
    <w:rsid w:val="79C0032F"/>
    <w:rsid w:val="79C603AF"/>
    <w:rsid w:val="79C7523C"/>
    <w:rsid w:val="79DE27FE"/>
    <w:rsid w:val="79ED4EF1"/>
    <w:rsid w:val="7A2B3FDC"/>
    <w:rsid w:val="7A2F6260"/>
    <w:rsid w:val="7A35311C"/>
    <w:rsid w:val="7A646B69"/>
    <w:rsid w:val="7A7B44FD"/>
    <w:rsid w:val="7ABA0959"/>
    <w:rsid w:val="7ACC5CF5"/>
    <w:rsid w:val="7ACC7D9A"/>
    <w:rsid w:val="7ADE68DB"/>
    <w:rsid w:val="7AE758AC"/>
    <w:rsid w:val="7AE76332"/>
    <w:rsid w:val="7AF0620B"/>
    <w:rsid w:val="7AF272FC"/>
    <w:rsid w:val="7B0174CF"/>
    <w:rsid w:val="7B104C4E"/>
    <w:rsid w:val="7B1614C2"/>
    <w:rsid w:val="7B2555B4"/>
    <w:rsid w:val="7B4E2A65"/>
    <w:rsid w:val="7B6A3F2A"/>
    <w:rsid w:val="7B714D2C"/>
    <w:rsid w:val="7B7D0784"/>
    <w:rsid w:val="7B9271D6"/>
    <w:rsid w:val="7BB121A3"/>
    <w:rsid w:val="7BB4414A"/>
    <w:rsid w:val="7BCA6982"/>
    <w:rsid w:val="7BD047A1"/>
    <w:rsid w:val="7BD0780C"/>
    <w:rsid w:val="7BDA1655"/>
    <w:rsid w:val="7BF1309D"/>
    <w:rsid w:val="7C0812F7"/>
    <w:rsid w:val="7C11084C"/>
    <w:rsid w:val="7C1C0A03"/>
    <w:rsid w:val="7C53756B"/>
    <w:rsid w:val="7C5F1B5A"/>
    <w:rsid w:val="7C850BF8"/>
    <w:rsid w:val="7C873B6C"/>
    <w:rsid w:val="7C8E4C3E"/>
    <w:rsid w:val="7CA94FAC"/>
    <w:rsid w:val="7CB00F2A"/>
    <w:rsid w:val="7CB41AF7"/>
    <w:rsid w:val="7CD320D3"/>
    <w:rsid w:val="7CD659A3"/>
    <w:rsid w:val="7CEC7892"/>
    <w:rsid w:val="7CEF5818"/>
    <w:rsid w:val="7D00385E"/>
    <w:rsid w:val="7D044D32"/>
    <w:rsid w:val="7D132B25"/>
    <w:rsid w:val="7D137B15"/>
    <w:rsid w:val="7D1A6A20"/>
    <w:rsid w:val="7D370669"/>
    <w:rsid w:val="7D3C0546"/>
    <w:rsid w:val="7D500BBF"/>
    <w:rsid w:val="7D5176F5"/>
    <w:rsid w:val="7D5A7E48"/>
    <w:rsid w:val="7D5D42EC"/>
    <w:rsid w:val="7D6E470D"/>
    <w:rsid w:val="7D6E6BB4"/>
    <w:rsid w:val="7D6F16ED"/>
    <w:rsid w:val="7DA1593D"/>
    <w:rsid w:val="7DA30692"/>
    <w:rsid w:val="7DAD0CEB"/>
    <w:rsid w:val="7DAD402F"/>
    <w:rsid w:val="7DF300AC"/>
    <w:rsid w:val="7E1502AD"/>
    <w:rsid w:val="7E2D7341"/>
    <w:rsid w:val="7E657765"/>
    <w:rsid w:val="7E7142CB"/>
    <w:rsid w:val="7E770EE1"/>
    <w:rsid w:val="7E9D3374"/>
    <w:rsid w:val="7EAA5E9F"/>
    <w:rsid w:val="7EC66850"/>
    <w:rsid w:val="7EC90904"/>
    <w:rsid w:val="7ED56104"/>
    <w:rsid w:val="7ED70258"/>
    <w:rsid w:val="7EF07D22"/>
    <w:rsid w:val="7EF20504"/>
    <w:rsid w:val="7F025C9C"/>
    <w:rsid w:val="7F234F58"/>
    <w:rsid w:val="7F295A94"/>
    <w:rsid w:val="7F380457"/>
    <w:rsid w:val="7F3B40B8"/>
    <w:rsid w:val="7F41055C"/>
    <w:rsid w:val="7F6C59C7"/>
    <w:rsid w:val="7F792CAB"/>
    <w:rsid w:val="7F7C6819"/>
    <w:rsid w:val="7F8029DD"/>
    <w:rsid w:val="7F9B46E9"/>
    <w:rsid w:val="7F9E0623"/>
    <w:rsid w:val="7FA05A37"/>
    <w:rsid w:val="7FD60FE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qFormat="1" w:unhideWhenUsed="0" w:uiPriority="0" w:semiHidden="0"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qFormat="1" w:unhideWhenUsed="0" w:uiPriority="99" w:name="envelope address"/>
    <w:lsdException w:qFormat="1" w:unhideWhenUsed="0" w:uiPriority="99" w:name="envelope return"/>
    <w:lsdException w:uiPriority="99" w:name="footnote reference" w:locked="1"/>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uiPriority="99" w:name="endnote reference" w:locked="1"/>
    <w:lsdException w:uiPriority="99" w:name="endnote text" w:locked="1"/>
    <w:lsdException w:qFormat="1" w:unhideWhenUsed="0" w:uiPriority="99" w:name="table of authorities"/>
    <w:lsdException w:uiPriority="99" w:name="macro" w:locked="1"/>
    <w:lsdException w:qFormat="1" w:unhideWhenUsed="0" w:uiPriority="99" w:name="toa heading"/>
    <w:lsdException w:qFormat="1" w:unhideWhenUsed="0" w:uiPriority="99" w:semiHidden="0" w:name="List"/>
    <w:lsdException w:qFormat="1" w:unhideWhenUsed="0" w:uiPriority="99" w:name="List Bullet"/>
    <w:lsdException w:qFormat="1" w:unhideWhenUsed="0" w:uiPriority="99"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name="List Bullet 2"/>
    <w:lsdException w:qFormat="1" w:unhideWhenUsed="0" w:uiPriority="99" w:name="List Bullet 3"/>
    <w:lsdException w:qFormat="1" w:unhideWhenUsed="0" w:uiPriority="99" w:name="List Bullet 4"/>
    <w:lsdException w:qFormat="1" w:unhideWhenUsed="0" w:uiPriority="99" w:name="List Bullet 5"/>
    <w:lsdException w:qFormat="1" w:unhideWhenUsed="0" w:uiPriority="99" w:name="List Number 2"/>
    <w:lsdException w:qFormat="1" w:unhideWhenUsed="0" w:uiPriority="99" w:name="List Number 3"/>
    <w:lsdException w:qFormat="1" w:unhideWhenUsed="0" w:uiPriority="99" w:name="List Number 4"/>
    <w:lsdException w:qFormat="1" w:unhideWhenUsed="0" w:uiPriority="99" w:name="List Number 5"/>
    <w:lsdException w:qFormat="1" w:unhideWhenUsed="0" w:uiPriority="99" w:semiHidden="0" w:name="Title"/>
    <w:lsdException w:qFormat="1" w:unhideWhenUsed="0" w:uiPriority="99" w:name="Closing"/>
    <w:lsdException w:qFormat="1" w:unhideWhenUsed="0" w:uiPriority="99" w:semiHidden="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name="List Continue 5"/>
    <w:lsdException w:qFormat="1" w:unhideWhenUsed="0" w:uiPriority="99" w:name="Message Header"/>
    <w:lsdException w:qFormat="1" w:unhideWhenUsed="0" w:uiPriority="99" w:semiHidden="0" w:name="Subtitle"/>
    <w:lsdException w:qFormat="1" w:unhideWhenUsed="0" w:uiPriority="99" w:name="Salutation"/>
    <w:lsdException w:qFormat="1" w:unhideWhenUsed="0" w:uiPriority="99" w:semiHidden="0" w:name="Date"/>
    <w:lsdException w:qFormat="1" w:unhideWhenUsed="0" w:uiPriority="99" w:semiHidden="0" w:name="Body Text First Indent"/>
    <w:lsdException w:qFormat="1" w:unhideWhenUsed="0" w:uiPriority="99" w:name="Body Text First Indent 2"/>
    <w:lsdException w:qFormat="1" w:unhideWhenUsed="0"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name="Block Text"/>
    <w:lsdException w:qFormat="1" w:unhideWhenUsed="0" w:uiPriority="99" w:semiHidden="0" w:name="Hyperlink"/>
    <w:lsdException w:qFormat="1" w:uiPriority="99" w:semiHidden="0" w:name="FollowedHyperlink" w:locked="1"/>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qFormat="1" w:unhideWhenUsed="0" w:uiPriority="99" w:name="E-mail Signature"/>
    <w:lsdException w:qFormat="1" w:unhideWhenUsed="0" w:uiPriority="0" w:semiHidden="0" w:name="Normal (Web)"/>
    <w:lsdException w:qFormat="1" w:unhideWhenUsed="0" w:uiPriority="99" w:name="HTML Acronym"/>
    <w:lsdException w:qFormat="1" w:unhideWhenUsed="0" w:uiPriority="99" w:name="HTML Address"/>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qFormat="1" w:unhideWhenUsed="0" w:uiPriority="99" w:name="HTML Preformatted"/>
    <w:lsdException w:qFormat="1" w:unhideWhenUsed="0" w:uiPriority="99" w:name="HTML Sample"/>
    <w:lsdException w:qFormat="1" w:unhideWhenUsed="0" w:uiPriority="99" w:name="HTML Typewriter"/>
    <w:lsdException w:qFormat="1" w:unhideWhenUsed="0" w:uiPriority="99" w:name="HTML Variable"/>
    <w:lsdException w:qFormat="1" w:uiPriority="99" w:semiHidden="0" w:name="Normal Table"/>
    <w:lsdException w:qFormat="1" w:unhideWhenUsed="0" w:uiPriority="99" w:name="annotation subject"/>
    <w:lsdException w:qFormat="1" w:unhideWhenUsed="0" w:uiPriority="99" w:name="Table Simple 1"/>
    <w:lsdException w:qFormat="1" w:unhideWhenUsed="0" w:uiPriority="99" w:name="Table Simple 2"/>
    <w:lsdException w:qFormat="1" w:unhideWhenUsed="0" w:uiPriority="99" w:name="Table Simple 3"/>
    <w:lsdException w:qFormat="1" w:unhideWhenUsed="0" w:uiPriority="99" w:name="Table Classic 1"/>
    <w:lsdException w:qFormat="1" w:unhideWhenUsed="0" w:uiPriority="99" w:name="Table Classic 2"/>
    <w:lsdException w:qFormat="1" w:unhideWhenUsed="0" w:uiPriority="99" w:name="Table Classic 3"/>
    <w:lsdException w:qFormat="1" w:unhideWhenUsed="0" w:uiPriority="99" w:name="Table Classic 4"/>
    <w:lsdException w:qFormat="1" w:unhideWhenUsed="0" w:uiPriority="99" w:name="Table Colorful 1"/>
    <w:lsdException w:qFormat="1" w:unhideWhenUsed="0" w:uiPriority="99" w:name="Table Colorful 2"/>
    <w:lsdException w:qFormat="1" w:unhideWhenUsed="0" w:uiPriority="99" w:name="Table Colorful 3"/>
    <w:lsdException w:qFormat="1" w:unhideWhenUsed="0" w:uiPriority="99" w:name="Table Columns 1"/>
    <w:lsdException w:qFormat="1" w:unhideWhenUsed="0" w:uiPriority="99" w:name="Table Columns 2"/>
    <w:lsdException w:qFormat="1" w:unhideWhenUsed="0" w:uiPriority="99" w:name="Table Columns 3"/>
    <w:lsdException w:qFormat="1" w:unhideWhenUsed="0" w:uiPriority="99" w:name="Table Columns 4"/>
    <w:lsdException w:qFormat="1" w:unhideWhenUsed="0" w:uiPriority="99" w:name="Table Columns 5"/>
    <w:lsdException w:qFormat="1" w:unhideWhenUsed="0" w:uiPriority="99" w:name="Table Grid 1"/>
    <w:lsdException w:qFormat="1" w:unhideWhenUsed="0" w:uiPriority="99" w:name="Table Grid 2"/>
    <w:lsdException w:qFormat="1" w:unhideWhenUsed="0" w:uiPriority="99" w:name="Table Grid 3"/>
    <w:lsdException w:qFormat="1" w:unhideWhenUsed="0" w:uiPriority="99" w:name="Table Grid 4"/>
    <w:lsdException w:qFormat="1" w:unhideWhenUsed="0" w:uiPriority="99" w:name="Table Grid 5"/>
    <w:lsdException w:qFormat="1" w:unhideWhenUsed="0" w:uiPriority="99" w:name="Table Grid 6"/>
    <w:lsdException w:qFormat="1" w:unhideWhenUsed="0" w:uiPriority="99" w:name="Table Grid 7"/>
    <w:lsdException w:qFormat="1" w:unhideWhenUsed="0" w:uiPriority="99" w:name="Table Grid 8"/>
    <w:lsdException w:qFormat="1" w:unhideWhenUsed="0" w:uiPriority="99" w:name="Table List 1"/>
    <w:lsdException w:qFormat="1" w:unhideWhenUsed="0" w:uiPriority="99" w:name="Table List 2"/>
    <w:lsdException w:qFormat="1" w:unhideWhenUsed="0" w:uiPriority="99" w:name="Table List 3"/>
    <w:lsdException w:qFormat="1" w:unhideWhenUsed="0" w:uiPriority="99" w:name="Table List 4"/>
    <w:lsdException w:qFormat="1" w:unhideWhenUsed="0" w:uiPriority="99" w:name="Table List 5"/>
    <w:lsdException w:qFormat="1" w:unhideWhenUsed="0" w:uiPriority="99" w:name="Table List 6"/>
    <w:lsdException w:qFormat="1" w:unhideWhenUsed="0" w:uiPriority="99" w:name="Table List 7"/>
    <w:lsdException w:qFormat="1" w:unhideWhenUsed="0" w:uiPriority="99" w:name="Table List 8"/>
    <w:lsdException w:qFormat="1" w:unhideWhenUsed="0" w:uiPriority="99" w:name="Table 3D effects 1"/>
    <w:lsdException w:qFormat="1" w:unhideWhenUsed="0" w:uiPriority="99" w:name="Table 3D effects 2"/>
    <w:lsdException w:qFormat="1" w:unhideWhenUsed="0" w:uiPriority="99" w:name="Table 3D effects 3"/>
    <w:lsdException w:qFormat="1" w:unhideWhenUsed="0" w:uiPriority="99" w:name="Table Contemporary"/>
    <w:lsdException w:qFormat="1" w:unhideWhenUsed="0" w:uiPriority="99" w:name="Table Elegant"/>
    <w:lsdException w:qFormat="1" w:unhideWhenUsed="0" w:uiPriority="99" w:name="Table Professional"/>
    <w:lsdException w:qFormat="1" w:unhideWhenUsed="0" w:uiPriority="99" w:name="Table Subtle 1"/>
    <w:lsdException w:qFormat="1" w:unhideWhenUsed="0" w:uiPriority="99" w:name="Table Subtle 2"/>
    <w:lsdException w:qFormat="1" w:unhideWhenUsed="0" w:uiPriority="99" w:name="Table Web 1"/>
    <w:lsdException w:qFormat="1" w:unhideWhenUsed="0" w:uiPriority="99" w:name="Table Web 2"/>
    <w:lsdException w:qFormat="1" w:unhideWhenUsed="0" w:uiPriority="99" w:name="Table Web 3"/>
    <w:lsdException w:qFormat="1" w:unhideWhenUsed="0" w:uiPriority="99" w:semiHidden="0" w:name="Balloon Text"/>
    <w:lsdException w:qFormat="1" w:unhideWhenUsed="0" w:uiPriority="0" w:semiHidden="0" w:name="Table Grid"/>
    <w:lsdException w:qFormat="1" w:unhideWhenUsed="0"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36"/>
    <w:qFormat/>
    <w:uiPriority w:val="99"/>
    <w:pPr>
      <w:keepNext/>
      <w:keepLines/>
      <w:spacing w:before="340" w:after="330" w:line="578" w:lineRule="auto"/>
      <w:outlineLvl w:val="0"/>
    </w:pPr>
    <w:rPr>
      <w:b/>
      <w:kern w:val="44"/>
      <w:sz w:val="44"/>
      <w:szCs w:val="20"/>
    </w:rPr>
  </w:style>
  <w:style w:type="paragraph" w:styleId="3">
    <w:name w:val="heading 2"/>
    <w:basedOn w:val="1"/>
    <w:next w:val="1"/>
    <w:link w:val="137"/>
    <w:qFormat/>
    <w:uiPriority w:val="99"/>
    <w:pPr>
      <w:keepNext/>
      <w:keepLines/>
      <w:spacing w:before="260" w:after="260" w:line="416" w:lineRule="auto"/>
      <w:outlineLvl w:val="1"/>
    </w:pPr>
    <w:rPr>
      <w:rFonts w:ascii="Arial" w:hAnsi="Arial" w:eastAsia="黑体"/>
      <w:b/>
      <w:kern w:val="0"/>
      <w:sz w:val="32"/>
      <w:szCs w:val="20"/>
    </w:rPr>
  </w:style>
  <w:style w:type="paragraph" w:styleId="4">
    <w:name w:val="heading 3"/>
    <w:basedOn w:val="1"/>
    <w:next w:val="1"/>
    <w:link w:val="138"/>
    <w:qFormat/>
    <w:uiPriority w:val="99"/>
    <w:pPr>
      <w:keepNext/>
      <w:keepLines/>
      <w:spacing w:before="260" w:after="260" w:line="416" w:lineRule="auto"/>
      <w:outlineLvl w:val="2"/>
    </w:pPr>
    <w:rPr>
      <w:b/>
      <w:kern w:val="0"/>
      <w:sz w:val="32"/>
      <w:szCs w:val="20"/>
    </w:rPr>
  </w:style>
  <w:style w:type="paragraph" w:styleId="5">
    <w:name w:val="heading 4"/>
    <w:basedOn w:val="1"/>
    <w:next w:val="1"/>
    <w:link w:val="139"/>
    <w:qFormat/>
    <w:uiPriority w:val="99"/>
    <w:pPr>
      <w:keepNext/>
      <w:keepLines/>
      <w:spacing w:before="280" w:after="290" w:line="376" w:lineRule="auto"/>
      <w:outlineLvl w:val="3"/>
    </w:pPr>
    <w:rPr>
      <w:rFonts w:ascii="Arial" w:hAnsi="Arial" w:eastAsia="黑体"/>
      <w:b/>
      <w:kern w:val="0"/>
      <w:sz w:val="28"/>
      <w:szCs w:val="20"/>
    </w:rPr>
  </w:style>
  <w:style w:type="paragraph" w:styleId="6">
    <w:name w:val="heading 5"/>
    <w:basedOn w:val="1"/>
    <w:next w:val="1"/>
    <w:link w:val="140"/>
    <w:qFormat/>
    <w:uiPriority w:val="99"/>
    <w:pPr>
      <w:keepNext/>
      <w:keepLines/>
      <w:spacing w:before="280" w:after="290" w:line="376" w:lineRule="auto"/>
      <w:outlineLvl w:val="4"/>
    </w:pPr>
    <w:rPr>
      <w:b/>
      <w:kern w:val="0"/>
      <w:sz w:val="28"/>
      <w:szCs w:val="20"/>
    </w:rPr>
  </w:style>
  <w:style w:type="paragraph" w:styleId="7">
    <w:name w:val="heading 6"/>
    <w:basedOn w:val="1"/>
    <w:next w:val="1"/>
    <w:link w:val="141"/>
    <w:qFormat/>
    <w:uiPriority w:val="99"/>
    <w:pPr>
      <w:keepNext/>
      <w:keepLines/>
      <w:spacing w:before="240" w:after="64" w:line="320" w:lineRule="auto"/>
      <w:outlineLvl w:val="5"/>
    </w:pPr>
    <w:rPr>
      <w:rFonts w:ascii="Arial" w:hAnsi="Arial" w:eastAsia="黑体"/>
      <w:b/>
      <w:kern w:val="0"/>
      <w:sz w:val="20"/>
      <w:szCs w:val="20"/>
    </w:rPr>
  </w:style>
  <w:style w:type="paragraph" w:styleId="8">
    <w:name w:val="heading 7"/>
    <w:basedOn w:val="1"/>
    <w:next w:val="1"/>
    <w:link w:val="142"/>
    <w:qFormat/>
    <w:uiPriority w:val="99"/>
    <w:pPr>
      <w:keepNext/>
      <w:keepLines/>
      <w:spacing w:before="240" w:after="64" w:line="320" w:lineRule="auto"/>
      <w:jc w:val="left"/>
      <w:outlineLvl w:val="6"/>
    </w:pPr>
    <w:rPr>
      <w:b/>
      <w:kern w:val="0"/>
      <w:sz w:val="24"/>
      <w:szCs w:val="20"/>
    </w:rPr>
  </w:style>
  <w:style w:type="paragraph" w:styleId="9">
    <w:name w:val="heading 8"/>
    <w:basedOn w:val="1"/>
    <w:next w:val="1"/>
    <w:link w:val="143"/>
    <w:qFormat/>
    <w:uiPriority w:val="99"/>
    <w:pPr>
      <w:keepNext/>
      <w:keepLines/>
      <w:tabs>
        <w:tab w:val="left" w:pos="1440"/>
      </w:tabs>
      <w:adjustRightInd w:val="0"/>
      <w:spacing w:line="360" w:lineRule="atLeast"/>
      <w:ind w:left="1440" w:hanging="1440"/>
      <w:outlineLvl w:val="7"/>
    </w:pPr>
    <w:rPr>
      <w:rFonts w:ascii="Cambria" w:hAnsi="Cambria"/>
      <w:kern w:val="0"/>
      <w:sz w:val="24"/>
      <w:szCs w:val="20"/>
    </w:rPr>
  </w:style>
  <w:style w:type="paragraph" w:styleId="10">
    <w:name w:val="heading 9"/>
    <w:basedOn w:val="1"/>
    <w:next w:val="1"/>
    <w:link w:val="144"/>
    <w:qFormat/>
    <w:uiPriority w:val="99"/>
    <w:pPr>
      <w:keepNext/>
      <w:keepLines/>
      <w:tabs>
        <w:tab w:val="left" w:pos="1584"/>
      </w:tabs>
      <w:adjustRightInd w:val="0"/>
      <w:spacing w:line="360" w:lineRule="atLeast"/>
      <w:ind w:left="1584" w:hanging="1584"/>
      <w:outlineLvl w:val="8"/>
    </w:pPr>
    <w:rPr>
      <w:rFonts w:ascii="Cambria" w:hAnsi="Cambria"/>
      <w:kern w:val="0"/>
      <w:szCs w:val="20"/>
    </w:rPr>
  </w:style>
  <w:style w:type="character" w:default="1" w:styleId="120">
    <w:name w:val="Default Paragraph Font"/>
    <w:unhideWhenUsed/>
    <w:qFormat/>
    <w:uiPriority w:val="1"/>
  </w:style>
  <w:style w:type="table" w:default="1" w:styleId="75">
    <w:name w:val="Normal Table"/>
    <w:unhideWhenUsed/>
    <w:qFormat/>
    <w:uiPriority w:val="99"/>
    <w:tblPr>
      <w:tblCellMar>
        <w:top w:w="0" w:type="dxa"/>
        <w:left w:w="108" w:type="dxa"/>
        <w:bottom w:w="0" w:type="dxa"/>
        <w:right w:w="108" w:type="dxa"/>
      </w:tblCellMar>
    </w:tblPr>
  </w:style>
  <w:style w:type="paragraph" w:styleId="11">
    <w:name w:val="List 3"/>
    <w:basedOn w:val="1"/>
    <w:qFormat/>
    <w:uiPriority w:val="99"/>
    <w:pPr>
      <w:ind w:left="100" w:leftChars="400" w:hanging="200" w:hangingChars="200"/>
    </w:pPr>
  </w:style>
  <w:style w:type="paragraph" w:styleId="12">
    <w:name w:val="toc 7"/>
    <w:basedOn w:val="1"/>
    <w:next w:val="1"/>
    <w:semiHidden/>
    <w:qFormat/>
    <w:uiPriority w:val="99"/>
    <w:pPr>
      <w:ind w:left="1260"/>
      <w:jc w:val="left"/>
    </w:pPr>
    <w:rPr>
      <w:sz w:val="18"/>
      <w:szCs w:val="18"/>
    </w:rPr>
  </w:style>
  <w:style w:type="paragraph" w:styleId="13">
    <w:name w:val="List Number 2"/>
    <w:basedOn w:val="1"/>
    <w:semiHidden/>
    <w:qFormat/>
    <w:uiPriority w:val="99"/>
    <w:pPr>
      <w:tabs>
        <w:tab w:val="left" w:pos="780"/>
      </w:tabs>
      <w:spacing w:after="200" w:line="276" w:lineRule="auto"/>
      <w:ind w:left="780" w:leftChars="200" w:hanging="360" w:hangingChars="200"/>
      <w:jc w:val="left"/>
    </w:pPr>
    <w:rPr>
      <w:rFonts w:ascii="Calibri" w:hAnsi="Calibri"/>
      <w:kern w:val="0"/>
      <w:sz w:val="22"/>
      <w:szCs w:val="22"/>
      <w:lang w:eastAsia="en-US"/>
    </w:rPr>
  </w:style>
  <w:style w:type="paragraph" w:styleId="14">
    <w:name w:val="table of authorities"/>
    <w:basedOn w:val="1"/>
    <w:next w:val="1"/>
    <w:semiHidden/>
    <w:qFormat/>
    <w:uiPriority w:val="99"/>
    <w:pPr>
      <w:spacing w:after="200" w:line="276" w:lineRule="auto"/>
      <w:ind w:left="420" w:leftChars="200"/>
      <w:jc w:val="left"/>
    </w:pPr>
    <w:rPr>
      <w:rFonts w:ascii="Calibri" w:hAnsi="Calibri"/>
      <w:kern w:val="0"/>
      <w:sz w:val="22"/>
      <w:szCs w:val="22"/>
      <w:lang w:eastAsia="en-US"/>
    </w:rPr>
  </w:style>
  <w:style w:type="paragraph" w:styleId="15">
    <w:name w:val="Note Heading"/>
    <w:basedOn w:val="1"/>
    <w:next w:val="1"/>
    <w:link w:val="145"/>
    <w:semiHidden/>
    <w:qFormat/>
    <w:uiPriority w:val="99"/>
    <w:pPr>
      <w:spacing w:after="200" w:line="276" w:lineRule="auto"/>
      <w:jc w:val="center"/>
    </w:pPr>
    <w:rPr>
      <w:kern w:val="0"/>
      <w:sz w:val="24"/>
      <w:szCs w:val="20"/>
    </w:rPr>
  </w:style>
  <w:style w:type="paragraph" w:styleId="16">
    <w:name w:val="List Bullet 4"/>
    <w:basedOn w:val="1"/>
    <w:semiHidden/>
    <w:qFormat/>
    <w:uiPriority w:val="99"/>
    <w:pPr>
      <w:tabs>
        <w:tab w:val="left" w:pos="360"/>
      </w:tabs>
      <w:spacing w:after="200" w:line="276" w:lineRule="auto"/>
      <w:ind w:left="360" w:hanging="360"/>
      <w:jc w:val="left"/>
    </w:pPr>
    <w:rPr>
      <w:rFonts w:ascii="Calibri" w:hAnsi="Calibri"/>
      <w:kern w:val="0"/>
      <w:sz w:val="22"/>
      <w:szCs w:val="22"/>
      <w:lang w:eastAsia="en-US"/>
    </w:rPr>
  </w:style>
  <w:style w:type="paragraph" w:styleId="17">
    <w:name w:val="E-mail Signature"/>
    <w:basedOn w:val="1"/>
    <w:link w:val="146"/>
    <w:semiHidden/>
    <w:qFormat/>
    <w:uiPriority w:val="99"/>
    <w:pPr>
      <w:spacing w:after="200" w:line="276" w:lineRule="auto"/>
      <w:jc w:val="left"/>
    </w:pPr>
    <w:rPr>
      <w:kern w:val="0"/>
      <w:sz w:val="24"/>
      <w:szCs w:val="20"/>
    </w:rPr>
  </w:style>
  <w:style w:type="paragraph" w:styleId="18">
    <w:name w:val="List Number"/>
    <w:basedOn w:val="1"/>
    <w:semiHidden/>
    <w:qFormat/>
    <w:uiPriority w:val="99"/>
    <w:pPr>
      <w:tabs>
        <w:tab w:val="left" w:pos="360"/>
      </w:tabs>
      <w:spacing w:after="200" w:line="276" w:lineRule="auto"/>
      <w:ind w:left="360" w:hanging="360" w:hangingChars="200"/>
      <w:jc w:val="left"/>
    </w:pPr>
    <w:rPr>
      <w:rFonts w:ascii="Calibri" w:hAnsi="Calibri"/>
      <w:kern w:val="0"/>
      <w:sz w:val="22"/>
      <w:szCs w:val="22"/>
      <w:lang w:eastAsia="en-US"/>
    </w:rPr>
  </w:style>
  <w:style w:type="paragraph" w:styleId="19">
    <w:name w:val="Normal Indent"/>
    <w:basedOn w:val="1"/>
    <w:link w:val="147"/>
    <w:qFormat/>
    <w:uiPriority w:val="99"/>
    <w:pPr>
      <w:ind w:firstLine="420" w:firstLineChars="200"/>
    </w:pPr>
    <w:rPr>
      <w:kern w:val="0"/>
      <w:szCs w:val="20"/>
    </w:rPr>
  </w:style>
  <w:style w:type="paragraph" w:styleId="20">
    <w:name w:val="caption"/>
    <w:basedOn w:val="1"/>
    <w:next w:val="1"/>
    <w:qFormat/>
    <w:uiPriority w:val="99"/>
    <w:pPr>
      <w:spacing w:before="152" w:after="160"/>
    </w:pPr>
    <w:rPr>
      <w:rFonts w:ascii="Arial" w:hAnsi="Arial" w:eastAsia="黑体" w:cs="Arial"/>
      <w:sz w:val="20"/>
      <w:szCs w:val="20"/>
    </w:rPr>
  </w:style>
  <w:style w:type="paragraph" w:styleId="21">
    <w:name w:val="List Bullet"/>
    <w:basedOn w:val="1"/>
    <w:semiHidden/>
    <w:qFormat/>
    <w:uiPriority w:val="99"/>
    <w:pPr>
      <w:tabs>
        <w:tab w:val="left" w:pos="360"/>
      </w:tabs>
      <w:spacing w:after="200" w:line="276" w:lineRule="auto"/>
      <w:ind w:left="360" w:hanging="360"/>
      <w:jc w:val="left"/>
    </w:pPr>
    <w:rPr>
      <w:rFonts w:ascii="Calibri" w:hAnsi="Calibri"/>
      <w:kern w:val="0"/>
      <w:sz w:val="22"/>
      <w:szCs w:val="22"/>
      <w:lang w:eastAsia="en-US"/>
    </w:rPr>
  </w:style>
  <w:style w:type="paragraph" w:styleId="22">
    <w:name w:val="envelope address"/>
    <w:basedOn w:val="1"/>
    <w:semiHidden/>
    <w:qFormat/>
    <w:uiPriority w:val="99"/>
    <w:pPr>
      <w:framePr w:w="7920" w:h="1980" w:hRule="exact" w:hSpace="180" w:wrap="around" w:vAnchor="margin" w:hAnchor="page" w:xAlign="center" w:yAlign="bottom"/>
      <w:snapToGrid w:val="0"/>
      <w:spacing w:after="200" w:line="276" w:lineRule="auto"/>
      <w:ind w:left="100" w:leftChars="1400"/>
      <w:jc w:val="left"/>
    </w:pPr>
    <w:rPr>
      <w:rFonts w:ascii="Arial" w:hAnsi="Arial" w:cs="Arial"/>
      <w:kern w:val="0"/>
      <w:sz w:val="24"/>
      <w:lang w:eastAsia="en-US"/>
    </w:rPr>
  </w:style>
  <w:style w:type="paragraph" w:styleId="23">
    <w:name w:val="Document Map"/>
    <w:basedOn w:val="1"/>
    <w:link w:val="148"/>
    <w:semiHidden/>
    <w:qFormat/>
    <w:uiPriority w:val="99"/>
    <w:pPr>
      <w:shd w:val="clear" w:color="auto" w:fill="000080"/>
    </w:pPr>
    <w:rPr>
      <w:kern w:val="0"/>
      <w:sz w:val="2"/>
      <w:szCs w:val="20"/>
    </w:rPr>
  </w:style>
  <w:style w:type="paragraph" w:styleId="24">
    <w:name w:val="toa heading"/>
    <w:basedOn w:val="1"/>
    <w:next w:val="1"/>
    <w:semiHidden/>
    <w:qFormat/>
    <w:uiPriority w:val="99"/>
    <w:pPr>
      <w:spacing w:before="120"/>
    </w:pPr>
    <w:rPr>
      <w:rFonts w:ascii="Arial" w:hAnsi="Arial"/>
      <w:sz w:val="24"/>
      <w:szCs w:val="20"/>
    </w:rPr>
  </w:style>
  <w:style w:type="paragraph" w:styleId="25">
    <w:name w:val="annotation text"/>
    <w:basedOn w:val="1"/>
    <w:link w:val="149"/>
    <w:qFormat/>
    <w:uiPriority w:val="99"/>
    <w:pPr>
      <w:spacing w:after="200" w:line="276" w:lineRule="auto"/>
      <w:jc w:val="left"/>
    </w:pPr>
    <w:rPr>
      <w:kern w:val="0"/>
      <w:sz w:val="24"/>
      <w:szCs w:val="20"/>
    </w:rPr>
  </w:style>
  <w:style w:type="paragraph" w:styleId="26">
    <w:name w:val="Salutation"/>
    <w:basedOn w:val="1"/>
    <w:next w:val="1"/>
    <w:link w:val="150"/>
    <w:semiHidden/>
    <w:qFormat/>
    <w:uiPriority w:val="99"/>
    <w:pPr>
      <w:spacing w:after="200" w:line="276" w:lineRule="auto"/>
      <w:jc w:val="left"/>
    </w:pPr>
    <w:rPr>
      <w:kern w:val="0"/>
      <w:sz w:val="24"/>
      <w:szCs w:val="20"/>
    </w:rPr>
  </w:style>
  <w:style w:type="paragraph" w:styleId="27">
    <w:name w:val="Body Text 3"/>
    <w:basedOn w:val="1"/>
    <w:link w:val="151"/>
    <w:qFormat/>
    <w:uiPriority w:val="99"/>
    <w:rPr>
      <w:kern w:val="0"/>
      <w:sz w:val="16"/>
      <w:szCs w:val="20"/>
    </w:rPr>
  </w:style>
  <w:style w:type="paragraph" w:styleId="28">
    <w:name w:val="Closing"/>
    <w:basedOn w:val="1"/>
    <w:link w:val="152"/>
    <w:semiHidden/>
    <w:qFormat/>
    <w:uiPriority w:val="99"/>
    <w:pPr>
      <w:spacing w:after="200" w:line="276" w:lineRule="auto"/>
      <w:ind w:left="100" w:leftChars="2100"/>
      <w:jc w:val="left"/>
    </w:pPr>
    <w:rPr>
      <w:kern w:val="0"/>
      <w:sz w:val="24"/>
      <w:szCs w:val="20"/>
    </w:rPr>
  </w:style>
  <w:style w:type="paragraph" w:styleId="29">
    <w:name w:val="List Bullet 3"/>
    <w:basedOn w:val="1"/>
    <w:semiHidden/>
    <w:qFormat/>
    <w:uiPriority w:val="99"/>
    <w:pPr>
      <w:tabs>
        <w:tab w:val="left" w:pos="360"/>
      </w:tabs>
      <w:spacing w:after="200" w:line="276" w:lineRule="auto"/>
      <w:ind w:left="360" w:hanging="360"/>
      <w:jc w:val="left"/>
    </w:pPr>
    <w:rPr>
      <w:rFonts w:ascii="Calibri" w:hAnsi="Calibri"/>
      <w:kern w:val="0"/>
      <w:sz w:val="22"/>
      <w:szCs w:val="22"/>
      <w:lang w:eastAsia="en-US"/>
    </w:rPr>
  </w:style>
  <w:style w:type="paragraph" w:styleId="30">
    <w:name w:val="Body Text"/>
    <w:basedOn w:val="1"/>
    <w:link w:val="153"/>
    <w:qFormat/>
    <w:uiPriority w:val="99"/>
    <w:pPr>
      <w:spacing w:after="120"/>
    </w:pPr>
    <w:rPr>
      <w:kern w:val="0"/>
      <w:sz w:val="24"/>
      <w:szCs w:val="20"/>
    </w:rPr>
  </w:style>
  <w:style w:type="paragraph" w:styleId="31">
    <w:name w:val="Body Text Indent"/>
    <w:basedOn w:val="1"/>
    <w:link w:val="154"/>
    <w:qFormat/>
    <w:uiPriority w:val="99"/>
    <w:pPr>
      <w:spacing w:line="500" w:lineRule="exact"/>
      <w:ind w:left="1588" w:leftChars="832" w:firstLine="433" w:firstLineChars="196"/>
    </w:pPr>
    <w:rPr>
      <w:kern w:val="0"/>
      <w:sz w:val="24"/>
      <w:szCs w:val="20"/>
    </w:rPr>
  </w:style>
  <w:style w:type="paragraph" w:styleId="32">
    <w:name w:val="List Number 3"/>
    <w:basedOn w:val="1"/>
    <w:semiHidden/>
    <w:qFormat/>
    <w:uiPriority w:val="99"/>
    <w:pPr>
      <w:tabs>
        <w:tab w:val="left" w:pos="360"/>
      </w:tabs>
      <w:spacing w:after="200" w:line="276" w:lineRule="auto"/>
      <w:ind w:left="360" w:hanging="360"/>
      <w:jc w:val="left"/>
    </w:pPr>
    <w:rPr>
      <w:rFonts w:ascii="Calibri" w:hAnsi="Calibri"/>
      <w:kern w:val="0"/>
      <w:sz w:val="22"/>
      <w:szCs w:val="22"/>
      <w:lang w:eastAsia="en-US"/>
    </w:rPr>
  </w:style>
  <w:style w:type="paragraph" w:styleId="33">
    <w:name w:val="List 2"/>
    <w:basedOn w:val="1"/>
    <w:qFormat/>
    <w:uiPriority w:val="99"/>
    <w:pPr>
      <w:ind w:left="100" w:leftChars="200" w:hanging="200" w:hangingChars="200"/>
    </w:pPr>
  </w:style>
  <w:style w:type="paragraph" w:styleId="34">
    <w:name w:val="List Continue"/>
    <w:basedOn w:val="1"/>
    <w:qFormat/>
    <w:uiPriority w:val="99"/>
    <w:pPr>
      <w:spacing w:after="120"/>
      <w:ind w:left="420" w:leftChars="200"/>
    </w:pPr>
  </w:style>
  <w:style w:type="paragraph" w:styleId="35">
    <w:name w:val="Block Text"/>
    <w:basedOn w:val="1"/>
    <w:semiHidden/>
    <w:qFormat/>
    <w:uiPriority w:val="99"/>
    <w:pPr>
      <w:spacing w:after="120" w:line="276" w:lineRule="auto"/>
      <w:ind w:left="1440" w:leftChars="700" w:right="1440" w:rightChars="700"/>
      <w:jc w:val="left"/>
    </w:pPr>
    <w:rPr>
      <w:rFonts w:ascii="Calibri" w:hAnsi="Calibri"/>
      <w:kern w:val="0"/>
      <w:sz w:val="22"/>
      <w:szCs w:val="22"/>
      <w:lang w:eastAsia="en-US"/>
    </w:rPr>
  </w:style>
  <w:style w:type="paragraph" w:styleId="36">
    <w:name w:val="List Bullet 2"/>
    <w:basedOn w:val="1"/>
    <w:semiHidden/>
    <w:qFormat/>
    <w:uiPriority w:val="99"/>
    <w:pPr>
      <w:tabs>
        <w:tab w:val="left" w:pos="360"/>
      </w:tabs>
      <w:spacing w:after="200" w:line="276" w:lineRule="auto"/>
      <w:ind w:left="360" w:hanging="360"/>
      <w:jc w:val="left"/>
    </w:pPr>
    <w:rPr>
      <w:rFonts w:ascii="Calibri" w:hAnsi="Calibri"/>
      <w:kern w:val="0"/>
      <w:sz w:val="22"/>
      <w:szCs w:val="22"/>
      <w:lang w:eastAsia="en-US"/>
    </w:rPr>
  </w:style>
  <w:style w:type="paragraph" w:styleId="37">
    <w:name w:val="HTML Address"/>
    <w:basedOn w:val="1"/>
    <w:link w:val="155"/>
    <w:semiHidden/>
    <w:qFormat/>
    <w:uiPriority w:val="99"/>
    <w:pPr>
      <w:spacing w:after="200" w:line="276" w:lineRule="auto"/>
      <w:jc w:val="left"/>
    </w:pPr>
    <w:rPr>
      <w:i/>
      <w:kern w:val="0"/>
      <w:sz w:val="24"/>
      <w:szCs w:val="20"/>
    </w:rPr>
  </w:style>
  <w:style w:type="paragraph" w:styleId="38">
    <w:name w:val="index 4"/>
    <w:basedOn w:val="1"/>
    <w:next w:val="1"/>
    <w:qFormat/>
    <w:locked/>
    <w:uiPriority w:val="0"/>
    <w:pPr>
      <w:ind w:left="428" w:firstLine="140"/>
    </w:pPr>
    <w:rPr>
      <w:rFonts w:eastAsia="华文仿宋"/>
      <w:sz w:val="28"/>
    </w:rPr>
  </w:style>
  <w:style w:type="paragraph" w:styleId="39">
    <w:name w:val="toc 5"/>
    <w:basedOn w:val="1"/>
    <w:next w:val="1"/>
    <w:semiHidden/>
    <w:qFormat/>
    <w:uiPriority w:val="99"/>
    <w:pPr>
      <w:ind w:left="840"/>
      <w:jc w:val="left"/>
    </w:pPr>
    <w:rPr>
      <w:sz w:val="18"/>
      <w:szCs w:val="18"/>
    </w:rPr>
  </w:style>
  <w:style w:type="paragraph" w:styleId="40">
    <w:name w:val="toc 3"/>
    <w:basedOn w:val="1"/>
    <w:next w:val="1"/>
    <w:qFormat/>
    <w:uiPriority w:val="39"/>
    <w:pPr>
      <w:ind w:left="420"/>
      <w:jc w:val="left"/>
    </w:pPr>
    <w:rPr>
      <w:i/>
      <w:iCs/>
      <w:sz w:val="20"/>
      <w:szCs w:val="20"/>
    </w:rPr>
  </w:style>
  <w:style w:type="paragraph" w:styleId="41">
    <w:name w:val="Plain Text"/>
    <w:basedOn w:val="1"/>
    <w:link w:val="156"/>
    <w:qFormat/>
    <w:uiPriority w:val="99"/>
    <w:rPr>
      <w:rFonts w:ascii="宋体" w:hAnsi="Courier New"/>
      <w:kern w:val="0"/>
      <w:szCs w:val="20"/>
    </w:rPr>
  </w:style>
  <w:style w:type="paragraph" w:styleId="42">
    <w:name w:val="List Bullet 5"/>
    <w:basedOn w:val="1"/>
    <w:semiHidden/>
    <w:qFormat/>
    <w:uiPriority w:val="99"/>
    <w:pPr>
      <w:tabs>
        <w:tab w:val="left" w:pos="360"/>
      </w:tabs>
      <w:spacing w:after="200" w:line="276" w:lineRule="auto"/>
      <w:ind w:left="360" w:hanging="360"/>
      <w:jc w:val="left"/>
    </w:pPr>
    <w:rPr>
      <w:rFonts w:ascii="Calibri" w:hAnsi="Calibri"/>
      <w:kern w:val="0"/>
      <w:sz w:val="22"/>
      <w:szCs w:val="22"/>
      <w:lang w:eastAsia="en-US"/>
    </w:rPr>
  </w:style>
  <w:style w:type="paragraph" w:styleId="43">
    <w:name w:val="List Number 4"/>
    <w:basedOn w:val="1"/>
    <w:semiHidden/>
    <w:qFormat/>
    <w:uiPriority w:val="99"/>
    <w:pPr>
      <w:numPr>
        <w:ilvl w:val="0"/>
        <w:numId w:val="1"/>
      </w:numPr>
      <w:spacing w:after="200" w:line="276" w:lineRule="auto"/>
      <w:jc w:val="left"/>
    </w:pPr>
    <w:rPr>
      <w:rFonts w:ascii="Calibri" w:hAnsi="Calibri"/>
      <w:kern w:val="0"/>
      <w:sz w:val="22"/>
      <w:szCs w:val="22"/>
      <w:lang w:eastAsia="en-US"/>
    </w:rPr>
  </w:style>
  <w:style w:type="paragraph" w:styleId="44">
    <w:name w:val="toc 8"/>
    <w:basedOn w:val="1"/>
    <w:next w:val="1"/>
    <w:semiHidden/>
    <w:qFormat/>
    <w:uiPriority w:val="99"/>
    <w:pPr>
      <w:ind w:left="1470"/>
      <w:jc w:val="left"/>
    </w:pPr>
    <w:rPr>
      <w:sz w:val="18"/>
      <w:szCs w:val="18"/>
    </w:rPr>
  </w:style>
  <w:style w:type="paragraph" w:styleId="45">
    <w:name w:val="Date"/>
    <w:basedOn w:val="1"/>
    <w:next w:val="1"/>
    <w:link w:val="157"/>
    <w:qFormat/>
    <w:uiPriority w:val="99"/>
    <w:pPr>
      <w:ind w:left="100" w:leftChars="2500"/>
    </w:pPr>
    <w:rPr>
      <w:kern w:val="0"/>
      <w:sz w:val="24"/>
      <w:szCs w:val="20"/>
    </w:rPr>
  </w:style>
  <w:style w:type="paragraph" w:styleId="46">
    <w:name w:val="Body Text Indent 2"/>
    <w:basedOn w:val="1"/>
    <w:link w:val="158"/>
    <w:qFormat/>
    <w:uiPriority w:val="99"/>
    <w:pPr>
      <w:spacing w:line="500" w:lineRule="exact"/>
      <w:ind w:firstLine="442" w:firstLineChars="200"/>
    </w:pPr>
    <w:rPr>
      <w:kern w:val="0"/>
      <w:sz w:val="24"/>
      <w:szCs w:val="20"/>
    </w:rPr>
  </w:style>
  <w:style w:type="paragraph" w:styleId="47">
    <w:name w:val="List Continue 5"/>
    <w:basedOn w:val="1"/>
    <w:semiHidden/>
    <w:qFormat/>
    <w:uiPriority w:val="99"/>
    <w:pPr>
      <w:spacing w:after="120" w:line="276" w:lineRule="auto"/>
      <w:ind w:left="2100" w:leftChars="1000"/>
      <w:jc w:val="left"/>
    </w:pPr>
    <w:rPr>
      <w:rFonts w:ascii="Calibri" w:hAnsi="Calibri"/>
      <w:kern w:val="0"/>
      <w:sz w:val="22"/>
      <w:szCs w:val="22"/>
      <w:lang w:eastAsia="en-US"/>
    </w:rPr>
  </w:style>
  <w:style w:type="paragraph" w:styleId="48">
    <w:name w:val="Balloon Text"/>
    <w:basedOn w:val="1"/>
    <w:link w:val="159"/>
    <w:qFormat/>
    <w:uiPriority w:val="99"/>
    <w:rPr>
      <w:sz w:val="18"/>
      <w:szCs w:val="18"/>
    </w:rPr>
  </w:style>
  <w:style w:type="paragraph" w:styleId="49">
    <w:name w:val="footer"/>
    <w:basedOn w:val="1"/>
    <w:link w:val="160"/>
    <w:qFormat/>
    <w:uiPriority w:val="99"/>
    <w:pPr>
      <w:tabs>
        <w:tab w:val="center" w:pos="4153"/>
        <w:tab w:val="right" w:pos="8306"/>
      </w:tabs>
      <w:snapToGrid w:val="0"/>
      <w:jc w:val="left"/>
    </w:pPr>
    <w:rPr>
      <w:kern w:val="0"/>
      <w:sz w:val="18"/>
      <w:szCs w:val="20"/>
    </w:rPr>
  </w:style>
  <w:style w:type="paragraph" w:styleId="50">
    <w:name w:val="envelope return"/>
    <w:basedOn w:val="1"/>
    <w:semiHidden/>
    <w:qFormat/>
    <w:uiPriority w:val="99"/>
    <w:pPr>
      <w:snapToGrid w:val="0"/>
      <w:spacing w:after="200" w:line="276" w:lineRule="auto"/>
      <w:jc w:val="left"/>
    </w:pPr>
    <w:rPr>
      <w:rFonts w:ascii="Arial" w:hAnsi="Arial" w:cs="Arial"/>
      <w:kern w:val="0"/>
      <w:sz w:val="22"/>
      <w:szCs w:val="22"/>
      <w:lang w:eastAsia="en-US"/>
    </w:rPr>
  </w:style>
  <w:style w:type="paragraph" w:styleId="51">
    <w:name w:val="header"/>
    <w:basedOn w:val="1"/>
    <w:link w:val="161"/>
    <w:qFormat/>
    <w:uiPriority w:val="99"/>
    <w:pPr>
      <w:pBdr>
        <w:bottom w:val="single" w:color="auto" w:sz="6" w:space="1"/>
      </w:pBdr>
      <w:tabs>
        <w:tab w:val="center" w:pos="4153"/>
        <w:tab w:val="right" w:pos="8306"/>
      </w:tabs>
      <w:snapToGrid w:val="0"/>
      <w:jc w:val="center"/>
    </w:pPr>
    <w:rPr>
      <w:kern w:val="0"/>
      <w:sz w:val="18"/>
      <w:szCs w:val="20"/>
    </w:rPr>
  </w:style>
  <w:style w:type="paragraph" w:styleId="52">
    <w:name w:val="Signature"/>
    <w:basedOn w:val="1"/>
    <w:link w:val="162"/>
    <w:qFormat/>
    <w:uiPriority w:val="99"/>
    <w:pPr>
      <w:ind w:left="100" w:leftChars="2100"/>
    </w:pPr>
    <w:rPr>
      <w:kern w:val="0"/>
      <w:sz w:val="24"/>
      <w:szCs w:val="20"/>
    </w:rPr>
  </w:style>
  <w:style w:type="paragraph" w:styleId="53">
    <w:name w:val="toc 1"/>
    <w:basedOn w:val="1"/>
    <w:next w:val="1"/>
    <w:qFormat/>
    <w:uiPriority w:val="39"/>
    <w:pPr>
      <w:spacing w:before="120" w:after="120"/>
      <w:jc w:val="left"/>
    </w:pPr>
    <w:rPr>
      <w:b/>
      <w:bCs/>
      <w:caps/>
      <w:sz w:val="20"/>
      <w:szCs w:val="20"/>
    </w:rPr>
  </w:style>
  <w:style w:type="paragraph" w:styleId="54">
    <w:name w:val="List Continue 4"/>
    <w:basedOn w:val="1"/>
    <w:qFormat/>
    <w:uiPriority w:val="99"/>
    <w:pPr>
      <w:spacing w:after="120"/>
      <w:ind w:left="1680" w:leftChars="800"/>
    </w:pPr>
  </w:style>
  <w:style w:type="paragraph" w:styleId="55">
    <w:name w:val="toc 4"/>
    <w:basedOn w:val="1"/>
    <w:next w:val="1"/>
    <w:semiHidden/>
    <w:qFormat/>
    <w:uiPriority w:val="99"/>
    <w:pPr>
      <w:ind w:left="630"/>
      <w:jc w:val="left"/>
    </w:pPr>
    <w:rPr>
      <w:sz w:val="18"/>
      <w:szCs w:val="18"/>
    </w:rPr>
  </w:style>
  <w:style w:type="paragraph" w:styleId="56">
    <w:name w:val="Subtitle"/>
    <w:basedOn w:val="1"/>
    <w:link w:val="163"/>
    <w:qFormat/>
    <w:uiPriority w:val="99"/>
    <w:pPr>
      <w:spacing w:before="240" w:after="60" w:line="312" w:lineRule="auto"/>
      <w:jc w:val="center"/>
      <w:outlineLvl w:val="1"/>
    </w:pPr>
    <w:rPr>
      <w:rFonts w:ascii="Cambria" w:hAnsi="Cambria"/>
      <w:b/>
      <w:kern w:val="28"/>
      <w:sz w:val="32"/>
      <w:szCs w:val="20"/>
    </w:rPr>
  </w:style>
  <w:style w:type="paragraph" w:styleId="57">
    <w:name w:val="List Number 5"/>
    <w:basedOn w:val="1"/>
    <w:semiHidden/>
    <w:qFormat/>
    <w:uiPriority w:val="99"/>
    <w:pPr>
      <w:tabs>
        <w:tab w:val="left" w:pos="360"/>
      </w:tabs>
      <w:spacing w:after="200" w:line="276" w:lineRule="auto"/>
      <w:ind w:left="360" w:hanging="360"/>
      <w:jc w:val="left"/>
    </w:pPr>
    <w:rPr>
      <w:rFonts w:ascii="Calibri" w:hAnsi="Calibri"/>
      <w:kern w:val="0"/>
      <w:sz w:val="22"/>
      <w:szCs w:val="22"/>
      <w:lang w:eastAsia="en-US"/>
    </w:rPr>
  </w:style>
  <w:style w:type="paragraph" w:styleId="58">
    <w:name w:val="List"/>
    <w:basedOn w:val="1"/>
    <w:qFormat/>
    <w:uiPriority w:val="99"/>
    <w:pPr>
      <w:ind w:left="200" w:hanging="200" w:hangingChars="200"/>
    </w:pPr>
  </w:style>
  <w:style w:type="paragraph" w:styleId="59">
    <w:name w:val="toc 6"/>
    <w:basedOn w:val="1"/>
    <w:next w:val="1"/>
    <w:semiHidden/>
    <w:qFormat/>
    <w:uiPriority w:val="99"/>
    <w:pPr>
      <w:ind w:left="1050"/>
      <w:jc w:val="left"/>
    </w:pPr>
    <w:rPr>
      <w:sz w:val="18"/>
      <w:szCs w:val="18"/>
    </w:rPr>
  </w:style>
  <w:style w:type="paragraph" w:styleId="60">
    <w:name w:val="List 5"/>
    <w:basedOn w:val="1"/>
    <w:qFormat/>
    <w:uiPriority w:val="99"/>
    <w:pPr>
      <w:ind w:left="100" w:leftChars="800" w:hanging="200" w:hangingChars="200"/>
    </w:pPr>
  </w:style>
  <w:style w:type="paragraph" w:styleId="61">
    <w:name w:val="Body Text Indent 3"/>
    <w:basedOn w:val="1"/>
    <w:link w:val="164"/>
    <w:qFormat/>
    <w:uiPriority w:val="99"/>
    <w:pPr>
      <w:tabs>
        <w:tab w:val="left" w:pos="1134"/>
        <w:tab w:val="left" w:pos="5481"/>
        <w:tab w:val="left" w:pos="5859"/>
      </w:tabs>
      <w:spacing w:line="500" w:lineRule="exact"/>
      <w:ind w:firstLine="8275" w:firstLineChars="1200"/>
    </w:pPr>
    <w:rPr>
      <w:kern w:val="0"/>
      <w:sz w:val="16"/>
      <w:szCs w:val="20"/>
    </w:rPr>
  </w:style>
  <w:style w:type="paragraph" w:styleId="62">
    <w:name w:val="toc 2"/>
    <w:basedOn w:val="1"/>
    <w:next w:val="1"/>
    <w:qFormat/>
    <w:uiPriority w:val="39"/>
    <w:pPr>
      <w:tabs>
        <w:tab w:val="right" w:leader="dot" w:pos="8597"/>
      </w:tabs>
      <w:spacing w:line="360" w:lineRule="auto"/>
      <w:ind w:left="210"/>
      <w:jc w:val="left"/>
    </w:pPr>
    <w:rPr>
      <w:smallCaps/>
      <w:sz w:val="20"/>
      <w:szCs w:val="20"/>
    </w:rPr>
  </w:style>
  <w:style w:type="paragraph" w:styleId="63">
    <w:name w:val="toc 9"/>
    <w:basedOn w:val="1"/>
    <w:next w:val="1"/>
    <w:semiHidden/>
    <w:qFormat/>
    <w:uiPriority w:val="99"/>
    <w:pPr>
      <w:ind w:left="1680"/>
      <w:jc w:val="left"/>
    </w:pPr>
    <w:rPr>
      <w:sz w:val="18"/>
      <w:szCs w:val="18"/>
    </w:rPr>
  </w:style>
  <w:style w:type="paragraph" w:styleId="64">
    <w:name w:val="Body Text 2"/>
    <w:basedOn w:val="1"/>
    <w:link w:val="165"/>
    <w:qFormat/>
    <w:uiPriority w:val="99"/>
    <w:rPr>
      <w:kern w:val="0"/>
      <w:sz w:val="24"/>
      <w:szCs w:val="20"/>
    </w:rPr>
  </w:style>
  <w:style w:type="paragraph" w:styleId="65">
    <w:name w:val="List 4"/>
    <w:basedOn w:val="1"/>
    <w:qFormat/>
    <w:uiPriority w:val="99"/>
    <w:pPr>
      <w:ind w:left="100" w:leftChars="600" w:hanging="200" w:hangingChars="200"/>
    </w:pPr>
  </w:style>
  <w:style w:type="paragraph" w:styleId="66">
    <w:name w:val="List Continue 2"/>
    <w:basedOn w:val="1"/>
    <w:qFormat/>
    <w:uiPriority w:val="99"/>
    <w:pPr>
      <w:spacing w:after="120"/>
      <w:ind w:left="840" w:leftChars="400"/>
    </w:pPr>
  </w:style>
  <w:style w:type="paragraph" w:styleId="67">
    <w:name w:val="Message Header"/>
    <w:basedOn w:val="1"/>
    <w:link w:val="166"/>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kern w:val="0"/>
      <w:sz w:val="24"/>
      <w:szCs w:val="20"/>
    </w:rPr>
  </w:style>
  <w:style w:type="paragraph" w:styleId="68">
    <w:name w:val="HTML Preformatted"/>
    <w:basedOn w:val="1"/>
    <w:link w:val="167"/>
    <w:semiHidden/>
    <w:qFormat/>
    <w:uiPriority w:val="99"/>
    <w:pPr>
      <w:spacing w:after="200" w:line="276" w:lineRule="auto"/>
      <w:jc w:val="left"/>
    </w:pPr>
    <w:rPr>
      <w:rFonts w:ascii="Courier New" w:hAnsi="Courier New"/>
      <w:kern w:val="0"/>
      <w:sz w:val="20"/>
      <w:szCs w:val="20"/>
    </w:rPr>
  </w:style>
  <w:style w:type="paragraph" w:styleId="6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70">
    <w:name w:val="List Continue 3"/>
    <w:basedOn w:val="1"/>
    <w:qFormat/>
    <w:uiPriority w:val="99"/>
    <w:pPr>
      <w:spacing w:after="120"/>
      <w:ind w:left="1260" w:leftChars="600"/>
    </w:pPr>
  </w:style>
  <w:style w:type="paragraph" w:styleId="71">
    <w:name w:val="Title"/>
    <w:basedOn w:val="1"/>
    <w:link w:val="168"/>
    <w:qFormat/>
    <w:uiPriority w:val="99"/>
    <w:pPr>
      <w:spacing w:before="240" w:after="60" w:line="276" w:lineRule="auto"/>
      <w:jc w:val="center"/>
      <w:outlineLvl w:val="0"/>
    </w:pPr>
    <w:rPr>
      <w:rFonts w:ascii="Cambria" w:hAnsi="Cambria"/>
      <w:b/>
      <w:kern w:val="0"/>
      <w:sz w:val="32"/>
      <w:szCs w:val="20"/>
    </w:rPr>
  </w:style>
  <w:style w:type="paragraph" w:styleId="72">
    <w:name w:val="annotation subject"/>
    <w:basedOn w:val="25"/>
    <w:next w:val="25"/>
    <w:link w:val="169"/>
    <w:semiHidden/>
    <w:qFormat/>
    <w:uiPriority w:val="99"/>
    <w:pPr>
      <w:spacing w:after="0" w:line="240" w:lineRule="auto"/>
    </w:pPr>
    <w:rPr>
      <w:rFonts w:ascii="Calibri" w:hAnsi="Calibri"/>
      <w:b/>
      <w:lang w:val="en-US" w:eastAsia="en-US"/>
    </w:rPr>
  </w:style>
  <w:style w:type="paragraph" w:styleId="73">
    <w:name w:val="Body Text First Indent"/>
    <w:basedOn w:val="30"/>
    <w:link w:val="170"/>
    <w:qFormat/>
    <w:uiPriority w:val="99"/>
    <w:pPr>
      <w:spacing w:line="400" w:lineRule="exact"/>
      <w:ind w:firstLine="200" w:firstLineChars="200"/>
    </w:pPr>
  </w:style>
  <w:style w:type="paragraph" w:styleId="74">
    <w:name w:val="Body Text First Indent 2"/>
    <w:basedOn w:val="31"/>
    <w:link w:val="171"/>
    <w:semiHidden/>
    <w:qFormat/>
    <w:uiPriority w:val="99"/>
    <w:pPr>
      <w:spacing w:after="120" w:line="276" w:lineRule="auto"/>
      <w:ind w:left="420" w:leftChars="200" w:firstLine="420" w:firstLineChars="200"/>
      <w:jc w:val="left"/>
    </w:pPr>
    <w:rPr>
      <w:szCs w:val="24"/>
    </w:rPr>
  </w:style>
  <w:style w:type="table" w:styleId="76">
    <w:name w:val="Table Grid"/>
    <w:basedOn w:val="75"/>
    <w:qFormat/>
    <w:uiPriority w:val="0"/>
    <w:pPr>
      <w:widowControl w:val="0"/>
      <w:spacing w:after="200" w:line="276"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7">
    <w:name w:val="Table Theme"/>
    <w:basedOn w:val="75"/>
    <w:semiHidden/>
    <w:qFormat/>
    <w:uiPriority w:val="99"/>
    <w:pPr>
      <w:widowControl w:val="0"/>
      <w:spacing w:after="200" w:line="276"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8">
    <w:name w:val="Table Colorful 1"/>
    <w:basedOn w:val="75"/>
    <w:semiHidden/>
    <w:qFormat/>
    <w:uiPriority w:val="99"/>
    <w:pPr>
      <w:widowControl w:val="0"/>
      <w:spacing w:after="200" w:line="276" w:lineRule="auto"/>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rFonts w:cs="Arial"/>
        <w:b/>
        <w:bCs/>
        <w:i/>
        <w:iCs/>
      </w:rPr>
      <w:tblPr/>
      <w:tcPr>
        <w:tcBorders>
          <w:top w:val="nil"/>
          <w:left w:val="nil"/>
          <w:bottom w:val="nil"/>
          <w:right w:val="nil"/>
          <w:insideH w:val="nil"/>
          <w:insideV w:val="nil"/>
          <w:tl2br w:val="nil"/>
          <w:tr2bl w:val="nil"/>
        </w:tcBorders>
        <w:shd w:val="solid" w:color="000000" w:fill="FFFFFF"/>
      </w:tcPr>
    </w:tblStylePr>
    <w:tblStylePr w:type="firstCol">
      <w:rPr>
        <w:rFonts w:cs="Arial"/>
        <w:b/>
        <w:bCs/>
        <w:i/>
        <w:iCs/>
      </w:rPr>
      <w:tblPr/>
      <w:tcPr>
        <w:tcBorders>
          <w:top w:val="nil"/>
          <w:left w:val="nil"/>
          <w:bottom w:val="nil"/>
          <w:right w:val="nil"/>
          <w:insideH w:val="nil"/>
          <w:insideV w:val="nil"/>
          <w:tl2br w:val="nil"/>
          <w:tr2bl w:val="nil"/>
        </w:tcBorders>
        <w:shd w:val="solid" w:color="000080" w:fill="FFFFFF"/>
      </w:tcPr>
    </w:tblStylePr>
    <w:tblStylePr w:type="nwCell">
      <w:rPr>
        <w:rFonts w:cs="Arial"/>
      </w:rPr>
      <w:tblPr/>
      <w:tcPr>
        <w:tcBorders>
          <w:top w:val="nil"/>
          <w:left w:val="nil"/>
          <w:bottom w:val="nil"/>
          <w:right w:val="nil"/>
          <w:insideH w:val="nil"/>
          <w:insideV w:val="nil"/>
          <w:tl2br w:val="nil"/>
          <w:tr2bl w:val="nil"/>
        </w:tcBorders>
        <w:shd w:val="solid" w:color="000000" w:fill="FFFFFF"/>
      </w:tcPr>
    </w:tblStylePr>
    <w:tblStylePr w:type="swCell">
      <w:rPr>
        <w:rFonts w:cs="Arial"/>
        <w:b/>
        <w:bCs/>
        <w:i w:val="0"/>
        <w:iCs w:val="0"/>
      </w:rPr>
      <w:tblPr/>
      <w:tcPr>
        <w:tcBorders>
          <w:top w:val="nil"/>
          <w:left w:val="nil"/>
          <w:bottom w:val="nil"/>
          <w:right w:val="nil"/>
          <w:insideH w:val="nil"/>
          <w:insideV w:val="nil"/>
          <w:tl2br w:val="nil"/>
          <w:tr2bl w:val="nil"/>
        </w:tcBorders>
      </w:tcPr>
    </w:tblStylePr>
  </w:style>
  <w:style w:type="table" w:styleId="79">
    <w:name w:val="Table Colorful 2"/>
    <w:basedOn w:val="75"/>
    <w:semiHidden/>
    <w:qFormat/>
    <w:uiPriority w:val="99"/>
    <w:pPr>
      <w:widowControl w:val="0"/>
      <w:spacing w:after="200" w:line="276" w:lineRule="auto"/>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rFonts w:cs="Arial"/>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rFonts w:cs="Arial"/>
        <w:b/>
        <w:bCs/>
        <w:i/>
        <w:iCs/>
      </w:rPr>
      <w:tblPr/>
      <w:tcPr>
        <w:tcBorders>
          <w:top w:val="nil"/>
          <w:left w:val="nil"/>
          <w:bottom w:val="nil"/>
          <w:right w:val="nil"/>
          <w:insideH w:val="nil"/>
          <w:insideV w:val="nil"/>
          <w:tl2br w:val="nil"/>
          <w:tr2bl w:val="nil"/>
        </w:tcBorders>
      </w:tcPr>
    </w:tblStylePr>
    <w:tblStylePr w:type="lastCol">
      <w:rPr>
        <w:rFonts w:cs="Arial"/>
      </w:rPr>
      <w:tblPr/>
      <w:tcPr>
        <w:tcBorders>
          <w:top w:val="nil"/>
          <w:left w:val="nil"/>
          <w:bottom w:val="nil"/>
          <w:right w:val="nil"/>
          <w:insideH w:val="nil"/>
          <w:insideV w:val="nil"/>
          <w:tl2br w:val="nil"/>
          <w:tr2bl w:val="nil"/>
        </w:tcBorders>
        <w:shd w:val="solid" w:color="C0C0C0" w:fill="FFFFFF"/>
      </w:tcPr>
    </w:tblStylePr>
    <w:tblStylePr w:type="swCell">
      <w:rPr>
        <w:rFonts w:cs="Arial"/>
        <w:b/>
        <w:bCs/>
        <w:i w:val="0"/>
        <w:iCs w:val="0"/>
      </w:rPr>
      <w:tblPr/>
      <w:tcPr>
        <w:tcBorders>
          <w:top w:val="nil"/>
          <w:left w:val="nil"/>
          <w:bottom w:val="nil"/>
          <w:right w:val="nil"/>
          <w:insideH w:val="nil"/>
          <w:insideV w:val="nil"/>
          <w:tl2br w:val="nil"/>
          <w:tr2bl w:val="nil"/>
        </w:tcBorders>
      </w:tcPr>
    </w:tblStylePr>
  </w:style>
  <w:style w:type="table" w:styleId="80">
    <w:name w:val="Table Colorful 3"/>
    <w:basedOn w:val="75"/>
    <w:semiHidden/>
    <w:qFormat/>
    <w:uiPriority w:val="99"/>
    <w:pPr>
      <w:widowControl w:val="0"/>
      <w:spacing w:after="200" w:line="276" w:lineRule="auto"/>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rPr>
        <w:rFonts w:cs="Arial"/>
      </w:rPr>
      <w:tblPr/>
      <w:tcPr>
        <w:tcBorders>
          <w:top w:val="nil"/>
          <w:left w:val="single" w:color="000000" w:sz="6" w:space="0"/>
          <w:bottom w:val="nil"/>
          <w:right w:val="nil"/>
          <w:insideH w:val="nil"/>
          <w:insideV w:val="nil"/>
          <w:tl2br w:val="nil"/>
          <w:tr2bl w:val="nil"/>
        </w:tcBorders>
        <w:shd w:val="solid" w:color="008080" w:fill="FFFFFF"/>
      </w:tcPr>
    </w:tblStylePr>
    <w:tblStylePr w:type="firstCol">
      <w:rPr>
        <w:rFonts w:cs="Arial"/>
      </w:rPr>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rFonts w:cs="Arial"/>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1">
    <w:name w:val="Table Elegant"/>
    <w:basedOn w:val="75"/>
    <w:semiHidden/>
    <w:qFormat/>
    <w:uiPriority w:val="99"/>
    <w:pPr>
      <w:widowControl w:val="0"/>
      <w:spacing w:after="200" w:line="276" w:lineRule="auto"/>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Arial"/>
        <w:caps/>
        <w:color w:val="auto"/>
      </w:rPr>
      <w:tblPr/>
      <w:tcPr>
        <w:tcBorders>
          <w:top w:val="nil"/>
          <w:left w:val="nil"/>
          <w:bottom w:val="nil"/>
          <w:right w:val="nil"/>
          <w:insideH w:val="nil"/>
          <w:insideV w:val="nil"/>
          <w:tl2br w:val="nil"/>
          <w:tr2bl w:val="nil"/>
        </w:tcBorders>
      </w:tcPr>
    </w:tblStylePr>
  </w:style>
  <w:style w:type="table" w:styleId="82">
    <w:name w:val="Table Classic 1"/>
    <w:basedOn w:val="75"/>
    <w:semiHidden/>
    <w:qFormat/>
    <w:uiPriority w:val="99"/>
    <w:pPr>
      <w:widowControl w:val="0"/>
      <w:spacing w:after="200" w:line="276" w:lineRule="auto"/>
    </w:pPr>
    <w:tblPr>
      <w:tblBorders>
        <w:top w:val="single" w:color="000000" w:sz="12" w:space="0"/>
        <w:bottom w:val="single" w:color="000000" w:sz="12" w:space="0"/>
      </w:tblBorders>
      <w:tblCellMar>
        <w:top w:w="0" w:type="dxa"/>
        <w:left w:w="108" w:type="dxa"/>
        <w:bottom w:w="0" w:type="dxa"/>
        <w:right w:w="108" w:type="dxa"/>
      </w:tblCellMar>
    </w:tblPr>
    <w:tblStylePr w:type="firstRow">
      <w:rPr>
        <w:rFonts w:cs="Arial"/>
        <w:i/>
        <w:iCs/>
      </w:rPr>
      <w:tblPr/>
      <w:tcPr>
        <w:tcBorders>
          <w:top w:val="nil"/>
          <w:left w:val="single" w:color="000000" w:sz="6" w:space="0"/>
          <w:bottom w:val="nil"/>
          <w:right w:val="nil"/>
          <w:insideH w:val="nil"/>
          <w:insideV w:val="nil"/>
          <w:tl2br w:val="nil"/>
          <w:tr2bl w:val="nil"/>
        </w:tcBorders>
      </w:tcPr>
    </w:tblStylePr>
    <w:tblStylePr w:type="lastRow">
      <w:rPr>
        <w:rFonts w:cs="Arial"/>
        <w:color w:val="auto"/>
      </w:rPr>
      <w:tblPr/>
      <w:tcPr>
        <w:tcBorders>
          <w:top w:val="single" w:color="000000" w:sz="6" w:space="0"/>
          <w:left w:val="nil"/>
          <w:bottom w:val="nil"/>
          <w:right w:val="nil"/>
          <w:insideH w:val="nil"/>
          <w:insideV w:val="nil"/>
          <w:tl2br w:val="nil"/>
          <w:tr2bl w:val="nil"/>
        </w:tcBorders>
      </w:tcPr>
    </w:tblStylePr>
    <w:tblStylePr w:type="firstCol">
      <w:rPr>
        <w:rFonts w:cs="Arial"/>
      </w:rPr>
      <w:tblPr/>
      <w:tcPr>
        <w:tcBorders>
          <w:top w:val="nil"/>
          <w:left w:val="nil"/>
          <w:bottom w:val="nil"/>
          <w:right w:val="single" w:color="000000" w:sz="6" w:space="0"/>
          <w:insideH w:val="nil"/>
          <w:insideV w:val="nil"/>
          <w:tl2br w:val="nil"/>
          <w:tr2bl w:val="nil"/>
        </w:tcBorders>
      </w:tcPr>
    </w:tblStylePr>
    <w:tblStylePr w:type="neCell">
      <w:rPr>
        <w:rFonts w:cs="Arial"/>
        <w:b/>
        <w:bCs/>
        <w:i w:val="0"/>
        <w:iCs w:val="0"/>
      </w:rPr>
      <w:tblPr/>
      <w:tcPr>
        <w:tcBorders>
          <w:top w:val="nil"/>
          <w:left w:val="nil"/>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83">
    <w:name w:val="Table Classic 2"/>
    <w:basedOn w:val="75"/>
    <w:semiHidden/>
    <w:qFormat/>
    <w:uiPriority w:val="99"/>
    <w:pPr>
      <w:widowControl w:val="0"/>
      <w:spacing w:after="200" w:line="276" w:lineRule="auto"/>
    </w:pPr>
    <w:tblPr>
      <w:tblBorders>
        <w:top w:val="single" w:color="000000" w:sz="12" w:space="0"/>
        <w:bottom w:val="single" w:color="000000" w:sz="12" w:space="0"/>
      </w:tblBorders>
      <w:tblCellMar>
        <w:top w:w="0" w:type="dxa"/>
        <w:left w:w="108" w:type="dxa"/>
        <w:bottom w:w="0" w:type="dxa"/>
        <w:right w:w="108" w:type="dxa"/>
      </w:tblCellMar>
    </w:tblPr>
    <w:tblStylePr w:type="firstRow">
      <w:rPr>
        <w:rFonts w:cs="Arial"/>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rPr>
        <w:rFonts w:cs="Arial"/>
      </w:rPr>
      <w:tblPr/>
      <w:tcPr>
        <w:tcBorders>
          <w:top w:val="single" w:color="000000" w:sz="6" w:space="0"/>
          <w:left w:val="nil"/>
          <w:bottom w:val="nil"/>
          <w:right w:val="nil"/>
          <w:insideH w:val="nil"/>
          <w:insideV w:val="nil"/>
          <w:tl2br w:val="nil"/>
          <w:tr2bl w:val="nil"/>
        </w:tcBorders>
      </w:tcPr>
    </w:tblStylePr>
    <w:tblStylePr w:type="firstCol">
      <w:rPr>
        <w:rFonts w:cs="Arial"/>
        <w:b/>
        <w:bCs/>
      </w:rPr>
      <w:tblPr/>
      <w:tcPr>
        <w:tcBorders>
          <w:top w:val="nil"/>
          <w:left w:val="nil"/>
          <w:bottom w:val="nil"/>
          <w:right w:val="nil"/>
          <w:insideH w:val="nil"/>
          <w:insideV w:val="nil"/>
          <w:tl2br w:val="nil"/>
          <w:tr2bl w:val="nil"/>
        </w:tcBorders>
        <w:shd w:val="solid" w:color="C0C0C0" w:fill="FFFFFF"/>
      </w:tcPr>
    </w:tblStylePr>
    <w:tblStylePr w:type="neCell">
      <w:rPr>
        <w:rFonts w:cs="Arial"/>
        <w:b/>
        <w:bCs/>
      </w:rPr>
      <w:tblPr/>
      <w:tcPr>
        <w:tcBorders>
          <w:top w:val="nil"/>
          <w:left w:val="nil"/>
          <w:bottom w:val="nil"/>
          <w:right w:val="nil"/>
          <w:insideH w:val="nil"/>
          <w:insideV w:val="nil"/>
          <w:tl2br w:val="nil"/>
          <w:tr2bl w:val="nil"/>
        </w:tcBorders>
      </w:tcPr>
    </w:tblStylePr>
    <w:tblStylePr w:type="nwCell">
      <w:rPr>
        <w:rFonts w:cs="Arial"/>
      </w:rPr>
      <w:tblPr/>
      <w:tcPr>
        <w:tcBorders>
          <w:top w:val="nil"/>
          <w:left w:val="nil"/>
          <w:bottom w:val="nil"/>
          <w:right w:val="nil"/>
          <w:insideH w:val="nil"/>
          <w:insideV w:val="nil"/>
          <w:tl2br w:val="nil"/>
          <w:tr2bl w:val="nil"/>
        </w:tcBorders>
        <w:shd w:val="solid" w:color="800080" w:fill="FFFFFF"/>
      </w:tcPr>
    </w:tblStylePr>
    <w:tblStylePr w:type="swCell">
      <w:rPr>
        <w:rFonts w:cs="Arial"/>
        <w:color w:val="000080"/>
      </w:rPr>
      <w:tblPr/>
      <w:tcPr>
        <w:tcBorders>
          <w:top w:val="nil"/>
          <w:left w:val="nil"/>
          <w:bottom w:val="nil"/>
          <w:right w:val="nil"/>
          <w:insideH w:val="nil"/>
          <w:insideV w:val="nil"/>
          <w:tl2br w:val="nil"/>
          <w:tr2bl w:val="nil"/>
        </w:tcBorders>
      </w:tcPr>
    </w:tblStylePr>
  </w:style>
  <w:style w:type="table" w:styleId="84">
    <w:name w:val="Table Classic 3"/>
    <w:basedOn w:val="75"/>
    <w:semiHidden/>
    <w:qFormat/>
    <w:uiPriority w:val="99"/>
    <w:pPr>
      <w:widowControl w:val="0"/>
      <w:spacing w:after="200" w:line="276" w:lineRule="auto"/>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rFonts w:cs="Arial"/>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rFonts w:cs="Arial"/>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rFonts w:cs="Arial"/>
        <w:b/>
        <w:bCs/>
        <w:color w:val="000000"/>
      </w:rPr>
      <w:tblPr/>
      <w:tcPr>
        <w:tcBorders>
          <w:top w:val="nil"/>
          <w:left w:val="nil"/>
          <w:bottom w:val="nil"/>
          <w:right w:val="nil"/>
          <w:insideH w:val="nil"/>
          <w:insideV w:val="nil"/>
          <w:tl2br w:val="nil"/>
          <w:tr2bl w:val="nil"/>
        </w:tcBorders>
      </w:tcPr>
    </w:tblStylePr>
  </w:style>
  <w:style w:type="table" w:styleId="85">
    <w:name w:val="Table Classic 4"/>
    <w:basedOn w:val="75"/>
    <w:semiHidden/>
    <w:qFormat/>
    <w:uiPriority w:val="99"/>
    <w:pPr>
      <w:widowControl w:val="0"/>
      <w:spacing w:after="200" w:line="276" w:lineRule="auto"/>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blStylePr w:type="firstRow">
      <w:rPr>
        <w:rFonts w:cs="Arial"/>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rFonts w:cs="Arial"/>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rFonts w:cs="Arial"/>
        <w:b/>
        <w:bCs/>
      </w:rPr>
      <w:tblPr/>
      <w:tcPr>
        <w:tcBorders>
          <w:top w:val="nil"/>
          <w:left w:val="nil"/>
          <w:bottom w:val="nil"/>
          <w:right w:val="nil"/>
          <w:insideH w:val="nil"/>
          <w:insideV w:val="nil"/>
          <w:tl2br w:val="nil"/>
          <w:tr2bl w:val="nil"/>
        </w:tcBorders>
      </w:tcPr>
    </w:tblStylePr>
    <w:tblStylePr w:type="nwCell">
      <w:rPr>
        <w:rFonts w:cs="Arial"/>
        <w:b/>
        <w:bCs/>
      </w:rPr>
      <w:tblPr/>
      <w:tcPr>
        <w:tcBorders>
          <w:top w:val="nil"/>
          <w:left w:val="nil"/>
          <w:bottom w:val="nil"/>
          <w:right w:val="nil"/>
          <w:insideH w:val="nil"/>
          <w:insideV w:val="nil"/>
          <w:tl2br w:val="nil"/>
          <w:tr2bl w:val="nil"/>
        </w:tcBorders>
      </w:tcPr>
    </w:tblStylePr>
    <w:tblStylePr w:type="swCell">
      <w:rPr>
        <w:rFonts w:cs="Arial"/>
        <w:color w:val="000080"/>
      </w:rPr>
      <w:tblPr/>
      <w:tcPr>
        <w:tcBorders>
          <w:top w:val="nil"/>
          <w:left w:val="nil"/>
          <w:bottom w:val="nil"/>
          <w:right w:val="nil"/>
          <w:insideH w:val="nil"/>
          <w:insideV w:val="nil"/>
          <w:tl2br w:val="nil"/>
          <w:tr2bl w:val="nil"/>
        </w:tcBorders>
      </w:tcPr>
    </w:tblStylePr>
  </w:style>
  <w:style w:type="table" w:styleId="86">
    <w:name w:val="Table Simple 1"/>
    <w:basedOn w:val="75"/>
    <w:semiHidden/>
    <w:qFormat/>
    <w:uiPriority w:val="99"/>
    <w:pPr>
      <w:widowControl w:val="0"/>
      <w:spacing w:after="200" w:line="276" w:lineRule="auto"/>
    </w:pPr>
    <w:tblPr>
      <w:tblBorders>
        <w:top w:val="single" w:color="008000" w:sz="12" w:space="0"/>
        <w:bottom w:val="single" w:color="008000" w:sz="12" w:space="0"/>
      </w:tblBorders>
      <w:tblCellMar>
        <w:top w:w="0" w:type="dxa"/>
        <w:left w:w="108" w:type="dxa"/>
        <w:bottom w:w="0" w:type="dxa"/>
        <w:right w:w="108" w:type="dxa"/>
      </w:tblCellMar>
    </w:tblPr>
    <w:tblStylePr w:type="firstRow">
      <w:rPr>
        <w:rFonts w:cs="Arial"/>
      </w:rPr>
      <w:tblPr/>
      <w:tcPr>
        <w:tcBorders>
          <w:top w:val="nil"/>
          <w:left w:val="single" w:color="008000" w:sz="6" w:space="0"/>
          <w:bottom w:val="nil"/>
          <w:right w:val="nil"/>
          <w:insideH w:val="nil"/>
          <w:insideV w:val="nil"/>
          <w:tl2br w:val="nil"/>
          <w:tr2bl w:val="nil"/>
        </w:tcBorders>
      </w:tcPr>
    </w:tblStylePr>
    <w:tblStylePr w:type="lastRow">
      <w:rPr>
        <w:rFonts w:cs="Arial"/>
      </w:rPr>
      <w:tblPr/>
      <w:tcPr>
        <w:tcBorders>
          <w:top w:val="single" w:color="008000" w:sz="6" w:space="0"/>
          <w:left w:val="nil"/>
          <w:bottom w:val="nil"/>
          <w:right w:val="nil"/>
          <w:insideH w:val="nil"/>
          <w:insideV w:val="nil"/>
          <w:tl2br w:val="nil"/>
          <w:tr2bl w:val="nil"/>
        </w:tcBorders>
      </w:tcPr>
    </w:tblStylePr>
  </w:style>
  <w:style w:type="table" w:styleId="87">
    <w:name w:val="Table Simple 2"/>
    <w:basedOn w:val="75"/>
    <w:semiHidden/>
    <w:qFormat/>
    <w:uiPriority w:val="99"/>
    <w:pPr>
      <w:widowControl w:val="0"/>
      <w:spacing w:after="200" w:line="276" w:lineRule="auto"/>
    </w:pPr>
    <w:tblPr>
      <w:tblCellMar>
        <w:top w:w="0" w:type="dxa"/>
        <w:left w:w="108" w:type="dxa"/>
        <w:bottom w:w="0" w:type="dxa"/>
        <w:right w:w="108" w:type="dxa"/>
      </w:tblCellMar>
    </w:tblPr>
    <w:tblStylePr w:type="firstRow">
      <w:rPr>
        <w:rFonts w:cs="Arial"/>
        <w:b/>
        <w:bCs/>
      </w:rPr>
      <w:tblPr/>
      <w:tcPr>
        <w:tcBorders>
          <w:top w:val="nil"/>
          <w:left w:val="single" w:color="000000" w:sz="12" w:space="0"/>
          <w:bottom w:val="nil"/>
          <w:right w:val="nil"/>
          <w:insideH w:val="nil"/>
          <w:insideV w:val="nil"/>
          <w:tl2br w:val="nil"/>
          <w:tr2bl w:val="nil"/>
        </w:tcBorders>
      </w:tcPr>
    </w:tblStylePr>
    <w:tblStylePr w:type="lastRow">
      <w:rPr>
        <w:rFonts w:cs="Arial"/>
        <w:b/>
        <w:bCs/>
        <w:color w:val="auto"/>
      </w:rPr>
      <w:tblPr/>
      <w:tcPr>
        <w:tcBorders>
          <w:top w:val="single" w:color="000000" w:sz="6" w:space="0"/>
          <w:left w:val="nil"/>
          <w:bottom w:val="nil"/>
          <w:right w:val="nil"/>
          <w:insideH w:val="nil"/>
          <w:insideV w:val="nil"/>
          <w:tl2br w:val="nil"/>
          <w:tr2bl w:val="nil"/>
        </w:tcBorders>
      </w:tcPr>
    </w:tblStylePr>
    <w:tblStylePr w:type="firstCol">
      <w:rPr>
        <w:rFonts w:cs="Arial"/>
        <w:b/>
        <w:bCs/>
      </w:rPr>
      <w:tblPr/>
      <w:tcPr>
        <w:tcBorders>
          <w:top w:val="nil"/>
          <w:left w:val="nil"/>
          <w:bottom w:val="nil"/>
          <w:right w:val="single" w:color="000000" w:sz="12" w:space="0"/>
          <w:insideH w:val="nil"/>
          <w:insideV w:val="nil"/>
          <w:tl2br w:val="nil"/>
          <w:tr2bl w:val="nil"/>
        </w:tcBorders>
      </w:tcPr>
    </w:tblStylePr>
    <w:tblStylePr w:type="lastCol">
      <w:rPr>
        <w:rFonts w:cs="Arial"/>
        <w:b/>
        <w:bCs/>
      </w:rPr>
      <w:tblPr/>
      <w:tcPr>
        <w:tcBorders>
          <w:top w:val="nil"/>
          <w:left w:val="nil"/>
          <w:bottom w:val="single" w:color="000000" w:sz="6" w:space="0"/>
          <w:right w:val="nil"/>
          <w:insideH w:val="nil"/>
          <w:insideV w:val="nil"/>
          <w:tl2br w:val="nil"/>
          <w:tr2bl w:val="nil"/>
        </w:tcBorders>
      </w:tcPr>
    </w:tblStylePr>
    <w:tblStylePr w:type="neCell">
      <w:rPr>
        <w:rFonts w:cs="Arial"/>
        <w:b/>
        <w:bCs/>
      </w:rPr>
      <w:tblPr/>
      <w:tcPr>
        <w:tcBorders>
          <w:top w:val="nil"/>
          <w:left w:val="nil"/>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88">
    <w:name w:val="Table Simple 3"/>
    <w:basedOn w:val="75"/>
    <w:semiHidden/>
    <w:qFormat/>
    <w:uiPriority w:val="99"/>
    <w:pPr>
      <w:widowControl w:val="0"/>
      <w:spacing w:after="200" w:line="276" w:lineRule="auto"/>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rFonts w:cs="Arial"/>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9">
    <w:name w:val="Table Subtle 1"/>
    <w:basedOn w:val="75"/>
    <w:semiHidden/>
    <w:qFormat/>
    <w:uiPriority w:val="99"/>
    <w:pPr>
      <w:widowControl w:val="0"/>
      <w:spacing w:after="200" w:line="276" w:lineRule="auto"/>
    </w:pPr>
    <w:tblPr>
      <w:tblCellMar>
        <w:top w:w="0" w:type="dxa"/>
        <w:left w:w="108" w:type="dxa"/>
        <w:bottom w:w="0" w:type="dxa"/>
        <w:right w:w="108" w:type="dxa"/>
      </w:tblCellMar>
    </w:tblPr>
    <w:tblStylePr w:type="firstRow">
      <w:rPr>
        <w:rFonts w:cs="Arial"/>
      </w:rPr>
      <w:tblPr/>
      <w:tcPr>
        <w:tcBorders>
          <w:top w:val="single" w:color="000000" w:sz="6" w:space="0"/>
          <w:left w:val="single" w:color="000000" w:sz="12" w:space="0"/>
          <w:bottom w:val="nil"/>
          <w:right w:val="nil"/>
          <w:insideH w:val="nil"/>
          <w:insideV w:val="nil"/>
          <w:tl2br w:val="nil"/>
          <w:tr2bl w:val="nil"/>
        </w:tcBorders>
      </w:tcPr>
    </w:tblStylePr>
    <w:tblStylePr w:type="lastRow">
      <w:rPr>
        <w:rFonts w:cs="Arial"/>
      </w:rPr>
      <w:tbl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Arial"/>
      </w:rPr>
      <w:tblPr/>
      <w:tcPr>
        <w:tcBorders>
          <w:top w:val="nil"/>
          <w:left w:val="nil"/>
          <w:bottom w:val="nil"/>
          <w:right w:val="single" w:color="000000" w:sz="12" w:space="0"/>
          <w:insideH w:val="nil"/>
          <w:insideV w:val="nil"/>
          <w:tl2br w:val="nil"/>
          <w:tr2bl w:val="nil"/>
        </w:tcBorders>
      </w:tcPr>
    </w:tblStylePr>
    <w:tblStylePr w:type="lastCol">
      <w:rPr>
        <w:rFonts w:cs="Arial"/>
      </w:rPr>
      <w:tblPr/>
      <w:tcPr>
        <w:tcBorders>
          <w:top w:val="nil"/>
          <w:left w:val="nil"/>
          <w:bottom w:val="single" w:color="000000" w:sz="12" w:space="0"/>
          <w:right w:val="nil"/>
          <w:insideH w:val="nil"/>
          <w:insideV w:val="nil"/>
          <w:tl2br w:val="nil"/>
          <w:tr2bl w:val="nil"/>
        </w:tcBorders>
      </w:tcPr>
    </w:tblStylePr>
    <w:tblStylePr w:type="band1Horz">
      <w:rPr>
        <w:rFonts w:cs="Arial"/>
      </w:rPr>
      <w:tblPr/>
      <w:tcPr>
        <w:tcBorders>
          <w:top w:val="nil"/>
          <w:left w:val="single" w:color="000000" w:sz="6" w:space="0"/>
          <w:bottom w:val="nil"/>
          <w:right w:val="nil"/>
          <w:insideH w:val="nil"/>
          <w:insideV w:val="nil"/>
          <w:tl2br w:val="nil"/>
          <w:tr2bl w:val="nil"/>
        </w:tcBorders>
        <w:shd w:val="pct25" w:color="808000" w:fill="FFFFFF"/>
      </w:tcPr>
    </w:tblStylePr>
    <w:tblStylePr w:type="neCell">
      <w:rPr>
        <w:rFonts w:cs="Arial"/>
        <w:b/>
        <w:bCs/>
      </w:rPr>
      <w:tblPr/>
      <w:tcPr>
        <w:tcBorders>
          <w:top w:val="nil"/>
          <w:left w:val="nil"/>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90">
    <w:name w:val="Table Subtle 2"/>
    <w:basedOn w:val="75"/>
    <w:semiHidden/>
    <w:qFormat/>
    <w:uiPriority w:val="99"/>
    <w:pPr>
      <w:widowControl w:val="0"/>
      <w:spacing w:after="200" w:line="276" w:lineRule="auto"/>
    </w:pPr>
    <w:tblPr>
      <w:tblBorders>
        <w:left w:val="single" w:color="000000" w:sz="6" w:space="0"/>
        <w:right w:val="single" w:color="000000" w:sz="6" w:space="0"/>
      </w:tblBorders>
      <w:tblCellMar>
        <w:top w:w="0" w:type="dxa"/>
        <w:left w:w="108" w:type="dxa"/>
        <w:bottom w:w="0" w:type="dxa"/>
        <w:right w:w="108" w:type="dxa"/>
      </w:tblCellMar>
    </w:tblPr>
    <w:tblStylePr w:type="firstRow">
      <w:rPr>
        <w:rFonts w:cs="Arial"/>
      </w:rPr>
      <w:tblPr/>
      <w:tcPr>
        <w:tcBorders>
          <w:top w:val="nil"/>
          <w:left w:val="single" w:color="000000" w:sz="12" w:space="0"/>
          <w:bottom w:val="nil"/>
          <w:right w:val="nil"/>
          <w:insideH w:val="nil"/>
          <w:insideV w:val="nil"/>
          <w:tl2br w:val="nil"/>
          <w:tr2bl w:val="nil"/>
        </w:tcBorders>
      </w:tcPr>
    </w:tblStylePr>
    <w:tblStylePr w:type="lastRow">
      <w:rPr>
        <w:rFonts w:cs="Arial"/>
      </w:rPr>
      <w:tblPr/>
      <w:tcPr>
        <w:tcBorders>
          <w:top w:val="single" w:color="000000" w:sz="12" w:space="0"/>
          <w:left w:val="nil"/>
          <w:bottom w:val="nil"/>
          <w:right w:val="nil"/>
          <w:insideH w:val="nil"/>
          <w:insideV w:val="nil"/>
          <w:tl2br w:val="nil"/>
          <w:tr2bl w:val="nil"/>
        </w:tcBorders>
      </w:tcPr>
    </w:tblStylePr>
    <w:tblStylePr w:type="firstCol">
      <w:rPr>
        <w:rFonts w:cs="Arial"/>
      </w:rPr>
      <w:tblPr/>
      <w:tcPr>
        <w:tcBorders>
          <w:top w:val="nil"/>
          <w:left w:val="nil"/>
          <w:bottom w:val="nil"/>
          <w:right w:val="single" w:color="000000" w:sz="12" w:space="0"/>
          <w:insideH w:val="nil"/>
          <w:insideV w:val="nil"/>
          <w:tl2br w:val="nil"/>
          <w:tr2bl w:val="nil"/>
        </w:tcBorders>
        <w:shd w:val="pct25" w:color="008000" w:fill="FFFFFF"/>
      </w:tcPr>
    </w:tblStylePr>
    <w:tblStylePr w:type="lastCol">
      <w:rPr>
        <w:rFonts w:cs="Arial"/>
      </w:rPr>
      <w:tblPr/>
      <w:tcPr>
        <w:tcBorders>
          <w:top w:val="nil"/>
          <w:left w:val="nil"/>
          <w:bottom w:val="single" w:color="000000" w:sz="12" w:space="0"/>
          <w:right w:val="nil"/>
          <w:insideH w:val="nil"/>
          <w:insideV w:val="nil"/>
          <w:tl2br w:val="nil"/>
          <w:tr2bl w:val="nil"/>
        </w:tcBorders>
        <w:shd w:val="pct25" w:color="808000" w:fill="FFFFFF"/>
      </w:tcPr>
    </w:tblStylePr>
    <w:tblStylePr w:type="neCell">
      <w:rPr>
        <w:rFonts w:cs="Arial"/>
        <w:b/>
        <w:bCs/>
      </w:rPr>
      <w:tblPr/>
      <w:tcPr>
        <w:tcBorders>
          <w:top w:val="nil"/>
          <w:left w:val="nil"/>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91">
    <w:name w:val="Table 3D effects 1"/>
    <w:basedOn w:val="75"/>
    <w:semiHidden/>
    <w:qFormat/>
    <w:uiPriority w:val="99"/>
    <w:pPr>
      <w:widowControl w:val="0"/>
      <w:spacing w:after="200" w:line="276" w:lineRule="auto"/>
    </w:pPr>
    <w:tblPr>
      <w:tblCellMar>
        <w:top w:w="0" w:type="dxa"/>
        <w:left w:w="108" w:type="dxa"/>
        <w:bottom w:w="0" w:type="dxa"/>
        <w:right w:w="108" w:type="dxa"/>
      </w:tblCellMar>
    </w:tblPr>
    <w:tcPr>
      <w:shd w:val="solid" w:color="C0C0C0" w:fill="FFFFFF"/>
    </w:tcPr>
    <w:tblStylePr w:type="firstRow">
      <w:rPr>
        <w:rFonts w:cs="Arial"/>
        <w:b/>
        <w:bCs/>
        <w:color w:val="800080"/>
      </w:rPr>
      <w:tblPr/>
      <w:tcPr>
        <w:tcBorders>
          <w:top w:val="nil"/>
          <w:left w:val="single" w:color="808080" w:sz="6" w:space="0"/>
          <w:bottom w:val="nil"/>
          <w:right w:val="nil"/>
          <w:insideH w:val="nil"/>
          <w:insideV w:val="nil"/>
          <w:tl2br w:val="nil"/>
          <w:tr2bl w:val="nil"/>
        </w:tcBorders>
      </w:tcPr>
    </w:tblStylePr>
    <w:tblStylePr w:type="lastRow">
      <w:rPr>
        <w:rFonts w:cs="Arial"/>
      </w:rPr>
      <w:tblPr/>
      <w:tcPr>
        <w:tcBorders>
          <w:top w:val="single" w:color="FFFFFF" w:sz="6" w:space="0"/>
          <w:left w:val="nil"/>
          <w:bottom w:val="nil"/>
          <w:right w:val="nil"/>
          <w:insideH w:val="nil"/>
          <w:insideV w:val="nil"/>
          <w:tl2br w:val="nil"/>
          <w:tr2bl w:val="nil"/>
        </w:tcBorders>
      </w:tcPr>
    </w:tblStylePr>
    <w:tblStylePr w:type="firstCol">
      <w:rPr>
        <w:rFonts w:cs="Arial"/>
        <w:b/>
        <w:bCs/>
      </w:rPr>
      <w:tblPr/>
      <w:tcPr>
        <w:tcBorders>
          <w:top w:val="nil"/>
          <w:left w:val="nil"/>
          <w:bottom w:val="nil"/>
          <w:right w:val="single" w:color="808080" w:sz="6" w:space="0"/>
          <w:insideH w:val="nil"/>
          <w:insideV w:val="nil"/>
          <w:tl2br w:val="nil"/>
          <w:tr2bl w:val="nil"/>
        </w:tcBorders>
      </w:tcPr>
    </w:tblStylePr>
    <w:tblStylePr w:type="lastCol">
      <w:rPr>
        <w:rFonts w:cs="Arial"/>
      </w:rPr>
      <w:tblPr/>
      <w:tcPr>
        <w:tcBorders>
          <w:top w:val="nil"/>
          <w:left w:val="nil"/>
          <w:bottom w:val="single" w:color="FFFFFF" w:sz="6" w:space="0"/>
          <w:right w:val="nil"/>
          <w:insideH w:val="nil"/>
          <w:insideV w:val="nil"/>
          <w:tl2br w:val="nil"/>
          <w:tr2bl w:val="nil"/>
        </w:tcBorders>
      </w:tcPr>
    </w:tblStylePr>
    <w:tblStylePr w:type="neCell">
      <w:rPr>
        <w:rFonts w:cs="Arial"/>
      </w:rPr>
      <w:tblPr/>
      <w:tcPr>
        <w:tcBorders>
          <w:top w:val="nil"/>
          <w:left w:val="nil"/>
          <w:bottom w:val="nil"/>
          <w:right w:val="nil"/>
          <w:insideH w:val="nil"/>
          <w:insideV w:val="nil"/>
          <w:tl2br w:val="nil"/>
          <w:tr2bl w:val="nil"/>
        </w:tcBorders>
      </w:tcPr>
    </w:tblStylePr>
    <w:tblStylePr w:type="nwCell">
      <w:rPr>
        <w:rFonts w:cs="Arial"/>
      </w:rPr>
      <w:tblPr/>
      <w:tcPr>
        <w:tcBorders>
          <w:top w:val="nil"/>
          <w:left w:val="nil"/>
          <w:bottom w:val="nil"/>
          <w:right w:val="nil"/>
          <w:insideH w:val="nil"/>
          <w:insideV w:val="nil"/>
          <w:tl2br w:val="nil"/>
          <w:tr2bl w:val="nil"/>
        </w:tcBorders>
      </w:tcPr>
    </w:tblStylePr>
    <w:tblStylePr w:type="seCell">
      <w:rPr>
        <w:rFonts w:cs="Arial"/>
      </w:rPr>
      <w:tblPr/>
      <w:tcPr>
        <w:tcBorders>
          <w:top w:val="nil"/>
          <w:left w:val="nil"/>
          <w:bottom w:val="nil"/>
          <w:right w:val="nil"/>
          <w:insideH w:val="nil"/>
          <w:insideV w:val="nil"/>
          <w:tl2br w:val="nil"/>
          <w:tr2bl w:val="nil"/>
        </w:tcBorders>
      </w:tcPr>
    </w:tblStylePr>
    <w:tblStylePr w:type="swCell">
      <w:rPr>
        <w:rFonts w:cs="Arial"/>
        <w:color w:val="000080"/>
      </w:rPr>
      <w:tblPr/>
      <w:tcPr>
        <w:tcBorders>
          <w:top w:val="nil"/>
          <w:left w:val="nil"/>
          <w:bottom w:val="nil"/>
          <w:right w:val="nil"/>
          <w:insideH w:val="nil"/>
          <w:insideV w:val="nil"/>
          <w:tl2br w:val="nil"/>
          <w:tr2bl w:val="nil"/>
        </w:tcBorders>
      </w:tcPr>
    </w:tblStylePr>
  </w:style>
  <w:style w:type="table" w:styleId="92">
    <w:name w:val="Table 3D effects 2"/>
    <w:basedOn w:val="75"/>
    <w:semiHidden/>
    <w:qFormat/>
    <w:uiPriority w:val="99"/>
    <w:pPr>
      <w:widowControl w:val="0"/>
      <w:spacing w:after="200" w:line="276" w:lineRule="auto"/>
    </w:pPr>
    <w:tblPr>
      <w:tblCellMar>
        <w:top w:w="0" w:type="dxa"/>
        <w:left w:w="108" w:type="dxa"/>
        <w:bottom w:w="0" w:type="dxa"/>
        <w:right w:w="108" w:type="dxa"/>
      </w:tblCellMar>
    </w:tblPr>
    <w:tcPr>
      <w:shd w:val="solid" w:color="C0C0C0" w:fill="FFFFFF"/>
    </w:tcPr>
    <w:tblStylePr w:type="firstRow">
      <w:rPr>
        <w:rFonts w:cs="Arial"/>
        <w:b/>
        <w:bCs/>
      </w:rPr>
      <w:tblPr/>
      <w:tcPr>
        <w:tcBorders>
          <w:top w:val="nil"/>
          <w:left w:val="nil"/>
          <w:bottom w:val="nil"/>
          <w:right w:val="nil"/>
          <w:insideH w:val="nil"/>
          <w:insideV w:val="nil"/>
          <w:tl2br w:val="nil"/>
          <w:tr2bl w:val="nil"/>
        </w:tcBorders>
      </w:tcPr>
    </w:tblStylePr>
    <w:tblStylePr w:type="firstCol">
      <w:rPr>
        <w:rFonts w:cs="Arial"/>
      </w:rPr>
      <w:tblPr/>
      <w:tcPr>
        <w:tcBorders>
          <w:top w:val="nil"/>
          <w:left w:val="nil"/>
          <w:bottom w:val="nil"/>
          <w:right w:val="single" w:color="808080" w:sz="6" w:space="0"/>
          <w:insideH w:val="nil"/>
          <w:insideV w:val="nil"/>
          <w:tl2br w:val="nil"/>
          <w:tr2bl w:val="nil"/>
        </w:tcBorders>
      </w:tcPr>
    </w:tblStylePr>
    <w:tblStylePr w:type="lastCol">
      <w:rPr>
        <w:rFonts w:cs="Arial"/>
      </w:rPr>
      <w:tblPr/>
      <w:tcPr>
        <w:tcBorders>
          <w:top w:val="nil"/>
          <w:left w:val="nil"/>
          <w:bottom w:val="nil"/>
          <w:right w:val="single" w:color="FFFFFF" w:sz="6" w:space="0"/>
          <w:insideH w:val="nil"/>
          <w:insideV w:val="nil"/>
          <w:tl2br w:val="nil"/>
          <w:tr2bl w:val="nil"/>
        </w:tcBorders>
      </w:tcPr>
    </w:tblStylePr>
    <w:tblStylePr w:type="band1Horz">
      <w:rPr>
        <w:rFonts w:cs="Arial"/>
      </w:rPr>
      <w:tblPr/>
      <w:tcPr>
        <w:tcBorders>
          <w:top w:val="single" w:color="808080" w:sz="6" w:space="0"/>
          <w:left w:val="single" w:color="FFFFFF" w:sz="6" w:space="0"/>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93">
    <w:name w:val="Table 3D effects 3"/>
    <w:basedOn w:val="75"/>
    <w:semiHidden/>
    <w:qFormat/>
    <w:uiPriority w:val="99"/>
    <w:pPr>
      <w:widowControl w:val="0"/>
      <w:spacing w:after="200" w:line="276" w:lineRule="auto"/>
    </w:pPr>
    <w:tblPr>
      <w:tblCellMar>
        <w:top w:w="0" w:type="dxa"/>
        <w:left w:w="108" w:type="dxa"/>
        <w:bottom w:w="0" w:type="dxa"/>
        <w:right w:w="108" w:type="dxa"/>
      </w:tblCellMar>
    </w:tblPr>
    <w:tblStylePr w:type="firstRow">
      <w:rPr>
        <w:rFonts w:cs="Arial"/>
        <w:b/>
        <w:bCs/>
      </w:rPr>
      <w:tblPr/>
      <w:tcPr>
        <w:tcBorders>
          <w:top w:val="nil"/>
          <w:left w:val="nil"/>
          <w:bottom w:val="nil"/>
          <w:right w:val="nil"/>
          <w:insideH w:val="nil"/>
          <w:insideV w:val="nil"/>
          <w:tl2br w:val="nil"/>
          <w:tr2bl w:val="nil"/>
        </w:tcBorders>
      </w:tcPr>
    </w:tblStylePr>
    <w:tblStylePr w:type="firstCol">
      <w:rPr>
        <w:rFonts w:cs="Arial"/>
      </w:rPr>
      <w:tblPr/>
      <w:tcPr>
        <w:tcBorders>
          <w:top w:val="nil"/>
          <w:left w:val="nil"/>
          <w:bottom w:val="nil"/>
          <w:right w:val="single" w:color="808080" w:sz="6" w:space="0"/>
          <w:insideH w:val="nil"/>
          <w:insideV w:val="nil"/>
          <w:tl2br w:val="nil"/>
          <w:tr2bl w:val="nil"/>
        </w:tcBorders>
      </w:tcPr>
    </w:tblStylePr>
    <w:tblStylePr w:type="lastCol">
      <w:rPr>
        <w:rFonts w:cs="Arial"/>
      </w:rPr>
      <w:tblPr/>
      <w:tcPr>
        <w:tcBorders>
          <w:top w:val="nil"/>
          <w:left w:val="nil"/>
          <w:bottom w:val="nil"/>
          <w:right w:val="single" w:color="FFFFFF" w:sz="6" w:space="0"/>
          <w:insideH w:val="nil"/>
          <w:insideV w:val="nil"/>
          <w:tl2br w:val="nil"/>
          <w:tr2bl w:val="nil"/>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color="808080" w:sz="6" w:space="0"/>
          <w:left w:val="single" w:color="FFFFFF" w:sz="6" w:space="0"/>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94">
    <w:name w:val="Table List 1"/>
    <w:basedOn w:val="75"/>
    <w:semiHidden/>
    <w:qFormat/>
    <w:uiPriority w:val="99"/>
    <w:pPr>
      <w:widowControl w:val="0"/>
      <w:spacing w:after="200" w:line="276" w:lineRule="auto"/>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rFonts w:cs="Arial"/>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rPr>
        <w:rFonts w:cs="Arial"/>
      </w:rPr>
      <w:tblPr/>
      <w:tcPr>
        <w:tcBorders>
          <w:top w:val="single" w:color="000000" w:sz="6" w:space="0"/>
          <w:left w:val="nil"/>
          <w:bottom w:val="nil"/>
          <w:right w:val="nil"/>
          <w:insideH w:val="nil"/>
          <w:insideV w:val="nil"/>
          <w:tl2br w:val="nil"/>
          <w:tr2bl w:val="nil"/>
        </w:tcBorders>
      </w:tcPr>
    </w:tblStylePr>
    <w:tblStylePr w:type="band1Horz">
      <w:rPr>
        <w:rFonts w:cs="Arial"/>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Arial"/>
        <w:color w:val="auto"/>
      </w:rPr>
      <w:tblPr/>
      <w:tcPr>
        <w:tcBorders>
          <w:top w:val="nil"/>
          <w:left w:val="nil"/>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95">
    <w:name w:val="Table List 2"/>
    <w:basedOn w:val="75"/>
    <w:semiHidden/>
    <w:qFormat/>
    <w:uiPriority w:val="99"/>
    <w:pPr>
      <w:widowControl w:val="0"/>
      <w:spacing w:after="200" w:line="276" w:lineRule="auto"/>
    </w:pPr>
    <w:tblPr>
      <w:tblBorders>
        <w:bottom w:val="single" w:color="808080" w:sz="12" w:space="0"/>
      </w:tblBorders>
      <w:tblCellMar>
        <w:top w:w="0" w:type="dxa"/>
        <w:left w:w="108" w:type="dxa"/>
        <w:bottom w:w="0" w:type="dxa"/>
        <w:right w:w="108" w:type="dxa"/>
      </w:tblCellMar>
    </w:tblPr>
    <w:tblStylePr w:type="firstRow">
      <w:rPr>
        <w:rFonts w:cs="Arial"/>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rPr>
        <w:rFonts w:cs="Arial"/>
      </w:rPr>
      <w:tblPr/>
      <w:tcPr>
        <w:tcBorders>
          <w:top w:val="single" w:color="000000" w:sz="6" w:space="0"/>
          <w:left w:val="nil"/>
          <w:bottom w:val="nil"/>
          <w:right w:val="nil"/>
          <w:insideH w:val="nil"/>
          <w:insideV w:val="nil"/>
          <w:tl2br w:val="nil"/>
          <w:tr2bl w:val="nil"/>
        </w:tcBorders>
      </w:tcPr>
    </w:tblStylePr>
    <w:tblStylePr w:type="band1Horz">
      <w:rPr>
        <w:rFonts w:cs="Arial"/>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Arial"/>
        <w:color w:val="auto"/>
      </w:rPr>
      <w:tblPr/>
      <w:tcPr>
        <w:tcBorders>
          <w:top w:val="nil"/>
          <w:left w:val="nil"/>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96">
    <w:name w:val="Table List 3"/>
    <w:basedOn w:val="75"/>
    <w:semiHidden/>
    <w:qFormat/>
    <w:uiPriority w:val="99"/>
    <w:pPr>
      <w:widowControl w:val="0"/>
      <w:spacing w:after="200" w:line="276" w:lineRule="auto"/>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rFonts w:cs="Arial"/>
        <w:b/>
        <w:bCs/>
        <w:color w:val="000080"/>
      </w:rPr>
      <w:tblPr/>
      <w:tcPr>
        <w:tcBorders>
          <w:top w:val="nil"/>
          <w:left w:val="single" w:color="000000" w:sz="12" w:space="0"/>
          <w:bottom w:val="nil"/>
          <w:right w:val="nil"/>
          <w:insideH w:val="nil"/>
          <w:insideV w:val="nil"/>
          <w:tl2br w:val="nil"/>
          <w:tr2bl w:val="nil"/>
        </w:tcBorders>
      </w:tcPr>
    </w:tblStylePr>
    <w:tblStylePr w:type="lastRow">
      <w:rPr>
        <w:rFonts w:cs="Arial"/>
      </w:rPr>
      <w:tblPr/>
      <w:tcPr>
        <w:tcBorders>
          <w:top w:val="single" w:color="000000" w:sz="12" w:space="0"/>
          <w:left w:val="nil"/>
          <w:bottom w:val="nil"/>
          <w:right w:val="nil"/>
          <w:insideH w:val="nil"/>
          <w:insideV w:val="nil"/>
          <w:tl2br w:val="nil"/>
          <w:tr2bl w:val="nil"/>
        </w:tcBorders>
      </w:tcPr>
    </w:tblStylePr>
    <w:tblStylePr w:type="swCell">
      <w:rPr>
        <w:rFonts w:cs="Arial"/>
        <w:i/>
        <w:iCs/>
        <w:color w:val="000080"/>
      </w:rPr>
      <w:tblPr/>
      <w:tcPr>
        <w:tcBorders>
          <w:top w:val="nil"/>
          <w:left w:val="nil"/>
          <w:bottom w:val="nil"/>
          <w:right w:val="nil"/>
          <w:insideH w:val="nil"/>
          <w:insideV w:val="nil"/>
          <w:tl2br w:val="nil"/>
          <w:tr2bl w:val="nil"/>
        </w:tcBorders>
      </w:tcPr>
    </w:tblStylePr>
  </w:style>
  <w:style w:type="table" w:styleId="97">
    <w:name w:val="Table List 4"/>
    <w:basedOn w:val="75"/>
    <w:semiHidden/>
    <w:qFormat/>
    <w:uiPriority w:val="99"/>
    <w:pPr>
      <w:widowControl w:val="0"/>
      <w:spacing w:after="200" w:line="276" w:lineRule="auto"/>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blStylePr w:type="firstRow">
      <w:rPr>
        <w:rFonts w:cs="Arial"/>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98">
    <w:name w:val="Table List 5"/>
    <w:basedOn w:val="75"/>
    <w:semiHidden/>
    <w:qFormat/>
    <w:uiPriority w:val="99"/>
    <w:pPr>
      <w:widowControl w:val="0"/>
      <w:spacing w:after="200" w:line="276" w:lineRule="auto"/>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blStylePr w:type="firstRow">
      <w:rPr>
        <w:rFonts w:cs="Arial"/>
        <w:b/>
        <w:bCs/>
      </w:rPr>
      <w:tblPr/>
      <w:tcPr>
        <w:tcBorders>
          <w:top w:val="nil"/>
          <w:left w:val="single" w:color="000000" w:sz="12" w:space="0"/>
          <w:bottom w:val="nil"/>
          <w:right w:val="nil"/>
          <w:insideH w:val="nil"/>
          <w:insideV w:val="nil"/>
          <w:tl2br w:val="nil"/>
          <w:tr2bl w:val="nil"/>
        </w:tcBorders>
      </w:tcPr>
    </w:tblStylePr>
    <w:tblStylePr w:type="firstCol">
      <w:rPr>
        <w:rFonts w:cs="Arial"/>
        <w:b/>
        <w:bCs/>
      </w:rPr>
      <w:tblPr/>
      <w:tcPr>
        <w:tcBorders>
          <w:top w:val="nil"/>
          <w:left w:val="nil"/>
          <w:bottom w:val="nil"/>
          <w:right w:val="nil"/>
          <w:insideH w:val="nil"/>
          <w:insideV w:val="nil"/>
          <w:tl2br w:val="nil"/>
          <w:tr2bl w:val="nil"/>
        </w:tcBorders>
      </w:tcPr>
    </w:tblStylePr>
  </w:style>
  <w:style w:type="table" w:styleId="99">
    <w:name w:val="Table List 6"/>
    <w:basedOn w:val="75"/>
    <w:semiHidden/>
    <w:qFormat/>
    <w:uiPriority w:val="99"/>
    <w:pPr>
      <w:widowControl w:val="0"/>
      <w:spacing w:after="200" w:line="276" w:lineRule="auto"/>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rFonts w:cs="Arial"/>
        <w:b/>
        <w:bCs/>
      </w:rPr>
      <w:tblPr/>
      <w:tcPr>
        <w:tcBorders>
          <w:top w:val="nil"/>
          <w:left w:val="single" w:color="000000" w:sz="12" w:space="0"/>
          <w:bottom w:val="nil"/>
          <w:right w:val="nil"/>
          <w:insideH w:val="nil"/>
          <w:insideV w:val="nil"/>
          <w:tl2br w:val="nil"/>
          <w:tr2bl w:val="nil"/>
        </w:tcBorders>
      </w:tcPr>
    </w:tblStylePr>
    <w:tblStylePr w:type="firstCol">
      <w:rPr>
        <w:rFonts w:cs="Arial"/>
        <w:b/>
        <w:bCs/>
      </w:rPr>
      <w:tblPr/>
      <w:tcPr>
        <w:tcBorders>
          <w:top w:val="nil"/>
          <w:left w:val="nil"/>
          <w:bottom w:val="nil"/>
          <w:right w:val="single" w:color="000000" w:sz="12" w:space="0"/>
          <w:insideH w:val="nil"/>
          <w:insideV w:val="nil"/>
          <w:tl2br w:val="nil"/>
          <w:tr2bl w:val="nil"/>
        </w:tcBorders>
      </w:tcPr>
    </w:tblStylePr>
    <w:tblStylePr w:type="band1Horz">
      <w:rPr>
        <w:rFonts w:cs="Arial"/>
      </w:rPr>
      <w:tblPr/>
      <w:tcPr>
        <w:tcBorders>
          <w:top w:val="nil"/>
          <w:left w:val="nil"/>
          <w:bottom w:val="nil"/>
          <w:right w:val="nil"/>
          <w:insideH w:val="nil"/>
          <w:insideV w:val="nil"/>
          <w:tl2br w:val="nil"/>
          <w:tr2bl w:val="nil"/>
        </w:tcBorders>
        <w:shd w:val="pct25" w:color="000000" w:fill="FFFFFF"/>
      </w:tcPr>
    </w:tblStylePr>
    <w:tblStylePr w:type="nwCell">
      <w:rPr>
        <w:rFonts w:cs="Arial"/>
      </w:rPr>
      <w:tblPr/>
      <w:tcPr>
        <w:tcBorders>
          <w:top w:val="nil"/>
          <w:left w:val="nil"/>
          <w:bottom w:val="nil"/>
          <w:right w:val="nil"/>
          <w:insideH w:val="nil"/>
          <w:insideV w:val="nil"/>
          <w:tl2br w:val="single" w:color="000000" w:sz="6" w:space="0"/>
          <w:tr2bl w:val="nil"/>
        </w:tcBorders>
      </w:tcPr>
    </w:tblStylePr>
  </w:style>
  <w:style w:type="table" w:styleId="100">
    <w:name w:val="Table List 7"/>
    <w:basedOn w:val="75"/>
    <w:semiHidden/>
    <w:qFormat/>
    <w:uiPriority w:val="99"/>
    <w:pPr>
      <w:widowControl w:val="0"/>
      <w:spacing w:after="200" w:line="276" w:lineRule="auto"/>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rFonts w:cs="Arial"/>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rFonts w:cs="Arial"/>
        <w:b/>
        <w:bCs/>
      </w:rPr>
      <w:tblPr/>
      <w:tcPr>
        <w:tcBorders>
          <w:top w:val="single" w:color="008000" w:sz="12" w:space="0"/>
          <w:left w:val="nil"/>
          <w:bottom w:val="nil"/>
          <w:right w:val="nil"/>
          <w:insideH w:val="nil"/>
          <w:insideV w:val="nil"/>
          <w:tl2br w:val="nil"/>
          <w:tr2bl w:val="nil"/>
        </w:tcBorders>
      </w:tcPr>
    </w:tblStylePr>
    <w:tblStylePr w:type="firstCol">
      <w:rPr>
        <w:rFonts w:cs="Arial"/>
        <w:b/>
        <w:bCs/>
      </w:rPr>
      <w:tblPr/>
      <w:tcPr>
        <w:tcBorders>
          <w:top w:val="nil"/>
          <w:left w:val="nil"/>
          <w:bottom w:val="nil"/>
          <w:right w:val="nil"/>
          <w:insideH w:val="nil"/>
          <w:insideV w:val="nil"/>
          <w:tl2br w:val="nil"/>
          <w:tr2bl w:val="nil"/>
        </w:tcBorders>
      </w:tcPr>
    </w:tblStylePr>
    <w:tblStylePr w:type="lastCol">
      <w:rPr>
        <w:rFonts w:cs="Arial"/>
        <w:b/>
        <w:bCs/>
      </w:rPr>
      <w:tblPr/>
      <w:tcPr>
        <w:tcBorders>
          <w:top w:val="nil"/>
          <w:left w:val="nil"/>
          <w:bottom w:val="nil"/>
          <w:right w:val="nil"/>
          <w:insideH w:val="nil"/>
          <w:insideV w:val="nil"/>
          <w:tl2br w:val="nil"/>
          <w:tr2bl w:val="nil"/>
        </w:tcBorders>
      </w:tcPr>
    </w:tblStylePr>
    <w:tblStylePr w:type="band1Horz">
      <w:rPr>
        <w:rFonts w:cs="Arial"/>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Arial"/>
      </w:rPr>
      <w:tblPr/>
      <w:tcPr>
        <w:tcBorders>
          <w:top w:val="nil"/>
          <w:left w:val="nil"/>
          <w:bottom w:val="nil"/>
          <w:right w:val="nil"/>
          <w:insideH w:val="nil"/>
          <w:insideV w:val="nil"/>
          <w:tl2br w:val="nil"/>
          <w:tr2bl w:val="nil"/>
        </w:tcBorders>
        <w:shd w:val="pct25" w:color="FFFF00" w:fill="FFFFFF"/>
      </w:tcPr>
    </w:tblStylePr>
  </w:style>
  <w:style w:type="table" w:styleId="101">
    <w:name w:val="Table List 8"/>
    <w:basedOn w:val="75"/>
    <w:semiHidden/>
    <w:qFormat/>
    <w:uiPriority w:val="99"/>
    <w:pPr>
      <w:widowControl w:val="0"/>
      <w:spacing w:after="200" w:line="276" w:lineRule="auto"/>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rFonts w:cs="Arial"/>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rFonts w:cs="Arial"/>
        <w:b/>
        <w:bCs/>
      </w:rPr>
      <w:tblPr/>
      <w:tcPr>
        <w:tcBorders>
          <w:top w:val="single" w:color="000000" w:sz="6" w:space="0"/>
          <w:left w:val="nil"/>
          <w:bottom w:val="nil"/>
          <w:right w:val="nil"/>
          <w:insideH w:val="nil"/>
          <w:insideV w:val="nil"/>
          <w:tl2br w:val="nil"/>
          <w:tr2bl w:val="nil"/>
        </w:tcBorders>
      </w:tcPr>
    </w:tblStylePr>
    <w:tblStylePr w:type="firstCol">
      <w:rPr>
        <w:rFonts w:cs="Arial"/>
        <w:b/>
        <w:bCs/>
      </w:rPr>
      <w:tblPr/>
      <w:tcPr>
        <w:tcBorders>
          <w:top w:val="nil"/>
          <w:left w:val="nil"/>
          <w:bottom w:val="nil"/>
          <w:right w:val="nil"/>
          <w:insideH w:val="nil"/>
          <w:insideV w:val="nil"/>
          <w:tl2br w:val="nil"/>
          <w:tr2bl w:val="nil"/>
        </w:tcBorders>
      </w:tcPr>
    </w:tblStylePr>
    <w:tblStylePr w:type="lastCol">
      <w:rPr>
        <w:rFonts w:cs="Arial"/>
        <w:b/>
        <w:bCs/>
      </w:rPr>
      <w:tblPr/>
      <w:tcPr>
        <w:tcBorders>
          <w:top w:val="nil"/>
          <w:left w:val="nil"/>
          <w:bottom w:val="nil"/>
          <w:right w:val="nil"/>
          <w:insideH w:val="nil"/>
          <w:insideV w:val="nil"/>
          <w:tl2br w:val="nil"/>
          <w:tr2bl w:val="nil"/>
        </w:tcBorders>
      </w:tcPr>
    </w:tblStylePr>
    <w:tblStylePr w:type="band1Horz">
      <w:rPr>
        <w:rFonts w:cs="Arial"/>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Arial"/>
      </w:rPr>
      <w:tblPr/>
      <w:tcPr>
        <w:tcBorders>
          <w:top w:val="nil"/>
          <w:left w:val="nil"/>
          <w:bottom w:val="nil"/>
          <w:right w:val="nil"/>
          <w:insideH w:val="nil"/>
          <w:insideV w:val="nil"/>
          <w:tl2br w:val="nil"/>
          <w:tr2bl w:val="nil"/>
        </w:tcBorders>
        <w:shd w:val="pct50" w:color="FF0000" w:fill="FFFFFF"/>
      </w:tcPr>
    </w:tblStylePr>
    <w:tblStylePr w:type="nwCell">
      <w:rPr>
        <w:rFonts w:cs="Arial"/>
      </w:rPr>
      <w:tblPr/>
      <w:tcPr>
        <w:tcBorders>
          <w:top w:val="nil"/>
          <w:left w:val="nil"/>
          <w:bottom w:val="nil"/>
          <w:right w:val="nil"/>
          <w:insideH w:val="nil"/>
          <w:insideV w:val="nil"/>
          <w:tl2br w:val="single" w:color="auto" w:sz="6" w:space="0"/>
          <w:tr2bl w:val="nil"/>
        </w:tcBorders>
      </w:tcPr>
    </w:tblStylePr>
  </w:style>
  <w:style w:type="table" w:styleId="102">
    <w:name w:val="Table Contemporary"/>
    <w:basedOn w:val="75"/>
    <w:semiHidden/>
    <w:qFormat/>
    <w:uiPriority w:val="99"/>
    <w:pPr>
      <w:widowControl w:val="0"/>
      <w:spacing w:after="200" w:line="276" w:lineRule="auto"/>
    </w:pPr>
    <w:tblPr>
      <w:tblBorders>
        <w:insideH w:val="single" w:color="FFFFFF" w:sz="18" w:space="0"/>
        <w:insideV w:val="single" w:color="FFFFFF" w:sz="18" w:space="0"/>
      </w:tblBorders>
      <w:tblCellMar>
        <w:top w:w="0" w:type="dxa"/>
        <w:left w:w="108" w:type="dxa"/>
        <w:bottom w:w="0" w:type="dxa"/>
        <w:right w:w="108" w:type="dxa"/>
      </w:tblCellMar>
    </w:tblPr>
    <w:tblStylePr w:type="firstRow">
      <w:rPr>
        <w:rFonts w:cs="Arial"/>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Arial"/>
        <w:color w:val="auto"/>
      </w:rPr>
      <w:tblPr/>
      <w:tcPr>
        <w:tcBorders>
          <w:top w:val="nil"/>
          <w:left w:val="nil"/>
          <w:bottom w:val="nil"/>
          <w:right w:val="nil"/>
          <w:insideH w:val="nil"/>
          <w:insideV w:val="nil"/>
          <w:tl2br w:val="nil"/>
          <w:tr2bl w:val="nil"/>
        </w:tcBorders>
        <w:shd w:val="pct5" w:color="000000" w:fill="FFFFFF"/>
      </w:tcPr>
    </w:tblStylePr>
    <w:tblStylePr w:type="band2Horz">
      <w:rPr>
        <w:rFonts w:cs="Arial"/>
        <w:color w:val="auto"/>
      </w:rPr>
      <w:tblPr/>
      <w:tcPr>
        <w:tcBorders>
          <w:top w:val="nil"/>
          <w:left w:val="nil"/>
          <w:bottom w:val="nil"/>
          <w:right w:val="nil"/>
          <w:insideH w:val="nil"/>
          <w:insideV w:val="nil"/>
          <w:tl2br w:val="nil"/>
          <w:tr2bl w:val="nil"/>
        </w:tcBorders>
        <w:shd w:val="pct20" w:color="000000" w:fill="FFFFFF"/>
      </w:tcPr>
    </w:tblStylePr>
  </w:style>
  <w:style w:type="table" w:styleId="103">
    <w:name w:val="Table Columns 1"/>
    <w:basedOn w:val="75"/>
    <w:semiHidden/>
    <w:qFormat/>
    <w:uiPriority w:val="99"/>
    <w:pPr>
      <w:widowControl w:val="0"/>
      <w:spacing w:after="200" w:line="276" w:lineRule="auto"/>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rFonts w:cs="Arial"/>
        <w:b w:val="0"/>
        <w:bCs w:val="0"/>
      </w:rPr>
      <w:tblPr/>
      <w:tcPr>
        <w:tcBorders>
          <w:top w:val="nil"/>
          <w:left w:val="double" w:color="000000" w:sz="6" w:space="0"/>
          <w:bottom w:val="nil"/>
          <w:right w:val="nil"/>
          <w:insideH w:val="nil"/>
          <w:insideV w:val="nil"/>
          <w:tl2br w:val="nil"/>
          <w:tr2bl w:val="nil"/>
        </w:tcBorders>
      </w:tcPr>
    </w:tblStylePr>
    <w:tblStylePr w:type="lastRow">
      <w:rPr>
        <w:rFonts w:cs="Arial"/>
        <w:b w:val="0"/>
        <w:bCs w:val="0"/>
      </w:rPr>
      <w:tblPr/>
      <w:tcPr>
        <w:tcBorders>
          <w:top w:val="nil"/>
          <w:left w:val="nil"/>
          <w:bottom w:val="nil"/>
          <w:right w:val="nil"/>
          <w:insideH w:val="nil"/>
          <w:insideV w:val="nil"/>
          <w:tl2br w:val="nil"/>
          <w:tr2bl w:val="nil"/>
        </w:tcBorders>
      </w:tcPr>
    </w:tblStylePr>
    <w:tblStylePr w:type="firstCol">
      <w:rPr>
        <w:rFonts w:cs="Arial"/>
        <w:b w:val="0"/>
        <w:bCs w:val="0"/>
      </w:rPr>
      <w:tblPr/>
      <w:tcPr>
        <w:tcBorders>
          <w:top w:val="nil"/>
          <w:left w:val="nil"/>
          <w:bottom w:val="nil"/>
          <w:right w:val="nil"/>
          <w:insideH w:val="nil"/>
          <w:insideV w:val="nil"/>
          <w:tl2br w:val="nil"/>
          <w:tr2bl w:val="nil"/>
        </w:tcBorders>
      </w:tcPr>
    </w:tblStylePr>
    <w:tblStylePr w:type="lastCol">
      <w:rPr>
        <w:rFonts w:cs="Arial"/>
        <w:b w:val="0"/>
        <w:bCs w:val="0"/>
      </w:rPr>
      <w:tblPr/>
      <w:tcPr>
        <w:tcBorders>
          <w:top w:val="nil"/>
          <w:left w:val="nil"/>
          <w:bottom w:val="nil"/>
          <w:right w:val="nil"/>
          <w:insideH w:val="nil"/>
          <w:insideV w:val="nil"/>
          <w:tl2br w:val="nil"/>
          <w:tr2bl w:val="nil"/>
        </w:tcBorders>
      </w:tcPr>
    </w:tblStylePr>
    <w:tblStylePr w:type="band1Vert">
      <w:rPr>
        <w:rFonts w:cs="Arial"/>
        <w:color w:val="auto"/>
      </w:rPr>
      <w:tblPr/>
      <w:tcPr>
        <w:shd w:val="pct25" w:color="000000" w:fill="FFFFFF"/>
      </w:tcPr>
    </w:tblStylePr>
    <w:tblStylePr w:type="band2Vert">
      <w:rPr>
        <w:rFonts w:cs="Arial"/>
        <w:color w:val="auto"/>
      </w:rPr>
      <w:tblPr/>
      <w:tcPr>
        <w:shd w:val="pct25" w:color="FFFF00" w:fill="FFFFFF"/>
      </w:tcPr>
    </w:tblStylePr>
    <w:tblStylePr w:type="neCell">
      <w:rPr>
        <w:rFonts w:cs="Arial"/>
        <w:b/>
        <w:bCs/>
      </w:rPr>
      <w:tblPr/>
      <w:tcPr>
        <w:tcBorders>
          <w:top w:val="nil"/>
          <w:left w:val="nil"/>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104">
    <w:name w:val="Table Columns 2"/>
    <w:basedOn w:val="75"/>
    <w:semiHidden/>
    <w:qFormat/>
    <w:uiPriority w:val="99"/>
    <w:pPr>
      <w:widowControl w:val="0"/>
      <w:spacing w:after="200" w:line="276" w:lineRule="auto"/>
    </w:pPr>
    <w:rPr>
      <w:b/>
      <w:bCs/>
    </w:rPr>
    <w:tblPr>
      <w:tblCellMar>
        <w:top w:w="0" w:type="dxa"/>
        <w:left w:w="108" w:type="dxa"/>
        <w:bottom w:w="0" w:type="dxa"/>
        <w:right w:w="108" w:type="dxa"/>
      </w:tblCellMar>
    </w:tblPr>
    <w:tblStylePr w:type="firstRow">
      <w:rPr>
        <w:rFonts w:cs="Arial"/>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Arial"/>
        <w:b w:val="0"/>
        <w:bCs w:val="0"/>
      </w:rPr>
      <w:tblPr/>
      <w:tcPr>
        <w:tcBorders>
          <w:top w:val="nil"/>
          <w:left w:val="nil"/>
          <w:bottom w:val="nil"/>
          <w:right w:val="nil"/>
          <w:insideH w:val="nil"/>
          <w:insideV w:val="nil"/>
          <w:tl2br w:val="nil"/>
          <w:tr2bl w:val="nil"/>
        </w:tcBorders>
      </w:tcPr>
    </w:tblStylePr>
    <w:tblStylePr w:type="firstCol">
      <w:rPr>
        <w:rFonts w:cs="Arial"/>
        <w:b w:val="0"/>
        <w:bCs w:val="0"/>
        <w:color w:val="000000"/>
      </w:rPr>
      <w:tblPr/>
      <w:tcPr>
        <w:tcBorders>
          <w:top w:val="nil"/>
          <w:left w:val="nil"/>
          <w:bottom w:val="nil"/>
          <w:right w:val="nil"/>
          <w:insideH w:val="nil"/>
          <w:insideV w:val="nil"/>
          <w:tl2br w:val="nil"/>
          <w:tr2bl w:val="nil"/>
        </w:tcBorders>
      </w:tcPr>
    </w:tblStylePr>
    <w:tblStylePr w:type="lastCol">
      <w:rPr>
        <w:rFonts w:cs="Arial"/>
        <w:b w:val="0"/>
        <w:bCs w:val="0"/>
      </w:rPr>
      <w:tblPr/>
      <w:tcPr>
        <w:tcBorders>
          <w:top w:val="nil"/>
          <w:left w:val="nil"/>
          <w:bottom w:val="nil"/>
          <w:right w:val="nil"/>
          <w:insideH w:val="nil"/>
          <w:insideV w:val="nil"/>
          <w:tl2br w:val="nil"/>
          <w:tr2bl w:val="nil"/>
        </w:tcBorders>
      </w:tcPr>
    </w:tblStylePr>
    <w:tblStylePr w:type="band1Vert">
      <w:rPr>
        <w:rFonts w:cs="Arial"/>
        <w:color w:val="auto"/>
      </w:rPr>
      <w:tblPr/>
      <w:tcPr>
        <w:shd w:val="pct30" w:color="000000" w:fill="FFFFFF"/>
      </w:tcPr>
    </w:tblStylePr>
    <w:tblStylePr w:type="band2Vert">
      <w:rPr>
        <w:rFonts w:cs="Arial"/>
        <w:color w:val="auto"/>
      </w:rPr>
      <w:tblPr/>
      <w:tcPr>
        <w:shd w:val="pct25" w:color="00FF00" w:fill="FFFFFF"/>
      </w:tcPr>
    </w:tblStylePr>
    <w:tblStylePr w:type="neCell">
      <w:rPr>
        <w:rFonts w:cs="Arial"/>
        <w:b/>
        <w:bCs/>
      </w:rPr>
      <w:tblPr/>
      <w:tcPr>
        <w:tcBorders>
          <w:top w:val="nil"/>
          <w:left w:val="nil"/>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105">
    <w:name w:val="Table Columns 3"/>
    <w:basedOn w:val="75"/>
    <w:semiHidden/>
    <w:qFormat/>
    <w:uiPriority w:val="99"/>
    <w:pPr>
      <w:widowControl w:val="0"/>
      <w:spacing w:after="200" w:line="276" w:lineRule="auto"/>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rFonts w:cs="Arial"/>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Arial"/>
        <w:b w:val="0"/>
        <w:bCs w:val="0"/>
      </w:rPr>
      <w:tblPr/>
      <w:tcPr>
        <w:tcBorders>
          <w:top w:val="single" w:color="000080" w:sz="6" w:space="0"/>
          <w:left w:val="nil"/>
          <w:bottom w:val="nil"/>
          <w:right w:val="nil"/>
          <w:insideH w:val="nil"/>
          <w:insideV w:val="nil"/>
          <w:tl2br w:val="nil"/>
          <w:tr2bl w:val="nil"/>
        </w:tcBorders>
      </w:tcPr>
    </w:tblStylePr>
    <w:tblStylePr w:type="firstCol">
      <w:rPr>
        <w:rFonts w:cs="Arial"/>
        <w:b w:val="0"/>
        <w:bCs w:val="0"/>
      </w:rPr>
      <w:tblPr/>
      <w:tcPr>
        <w:tcBorders>
          <w:top w:val="nil"/>
          <w:left w:val="nil"/>
          <w:bottom w:val="nil"/>
          <w:right w:val="nil"/>
          <w:insideH w:val="nil"/>
          <w:insideV w:val="nil"/>
          <w:tl2br w:val="nil"/>
          <w:tr2bl w:val="nil"/>
        </w:tcBorders>
      </w:tcPr>
    </w:tblStylePr>
    <w:tblStylePr w:type="lastCol">
      <w:rPr>
        <w:rFonts w:cs="Arial"/>
        <w:b w:val="0"/>
        <w:bCs w:val="0"/>
      </w:rPr>
      <w:tblPr/>
      <w:tcPr>
        <w:tcBorders>
          <w:top w:val="nil"/>
          <w:left w:val="nil"/>
          <w:bottom w:val="nil"/>
          <w:right w:val="nil"/>
          <w:insideH w:val="nil"/>
          <w:insideV w:val="nil"/>
          <w:tl2br w:val="nil"/>
          <w:tr2bl w:val="nil"/>
        </w:tcBorders>
      </w:tcPr>
    </w:tblStylePr>
    <w:tblStylePr w:type="band1Vert">
      <w:rPr>
        <w:rFonts w:cs="Arial"/>
        <w:color w:val="auto"/>
      </w:rPr>
      <w:tblPr/>
      <w:tcPr>
        <w:shd w:val="solid" w:color="C0C0C0" w:fill="FFFFFF"/>
      </w:tcPr>
    </w:tblStylePr>
    <w:tblStylePr w:type="band2Vert">
      <w:rPr>
        <w:rFonts w:cs="Arial"/>
        <w:color w:val="auto"/>
      </w:rPr>
      <w:tblPr/>
      <w:tcPr>
        <w:shd w:val="pct10" w:color="000000" w:fill="FFFFFF"/>
      </w:tcPr>
    </w:tblStylePr>
    <w:tblStylePr w:type="neCell">
      <w:rPr>
        <w:rFonts w:cs="Arial"/>
        <w:b/>
        <w:bCs/>
      </w:rPr>
      <w:tblPr/>
      <w:tcPr>
        <w:tcBorders>
          <w:top w:val="nil"/>
          <w:left w:val="nil"/>
          <w:bottom w:val="nil"/>
          <w:right w:val="nil"/>
          <w:insideH w:val="nil"/>
          <w:insideV w:val="nil"/>
          <w:tl2br w:val="nil"/>
          <w:tr2bl w:val="nil"/>
        </w:tcBorders>
      </w:tcPr>
    </w:tblStylePr>
  </w:style>
  <w:style w:type="table" w:styleId="106">
    <w:name w:val="Table Columns 4"/>
    <w:basedOn w:val="75"/>
    <w:semiHidden/>
    <w:qFormat/>
    <w:uiPriority w:val="99"/>
    <w:pPr>
      <w:widowControl w:val="0"/>
      <w:spacing w:after="200" w:line="276" w:lineRule="auto"/>
    </w:pPr>
    <w:tblPr>
      <w:tblCellMar>
        <w:top w:w="0" w:type="dxa"/>
        <w:left w:w="108" w:type="dxa"/>
        <w:bottom w:w="0" w:type="dxa"/>
        <w:right w:w="108" w:type="dxa"/>
      </w:tblCellMar>
    </w:tblPr>
    <w:tblStylePr w:type="firstRow">
      <w:rPr>
        <w:rFonts w:cs="Arial"/>
        <w:color w:val="FFFFFF"/>
      </w:rPr>
      <w:tblPr/>
      <w:tcPr>
        <w:tcBorders>
          <w:top w:val="nil"/>
          <w:left w:val="nil"/>
          <w:bottom w:val="nil"/>
          <w:right w:val="nil"/>
          <w:insideH w:val="nil"/>
          <w:insideV w:val="nil"/>
          <w:tl2br w:val="nil"/>
          <w:tr2bl w:val="nil"/>
        </w:tcBorders>
        <w:shd w:val="solid" w:color="000000" w:fill="FFFFFF"/>
      </w:tcPr>
    </w:tblStylePr>
    <w:tblStylePr w:type="lastRow">
      <w:rPr>
        <w:rFonts w:cs="Arial"/>
        <w:b/>
        <w:bCs/>
      </w:rPr>
      <w:tblPr/>
      <w:tcPr>
        <w:tcBorders>
          <w:top w:val="nil"/>
          <w:left w:val="nil"/>
          <w:bottom w:val="nil"/>
          <w:right w:val="nil"/>
          <w:insideH w:val="nil"/>
          <w:insideV w:val="nil"/>
          <w:tl2br w:val="nil"/>
          <w:tr2bl w:val="nil"/>
        </w:tcBorders>
      </w:tcPr>
    </w:tblStylePr>
    <w:tblStylePr w:type="lastCol">
      <w:rPr>
        <w:rFonts w:cs="Arial"/>
        <w:b/>
        <w:bCs/>
      </w:rPr>
      <w:tblPr/>
      <w:tcPr>
        <w:tcBorders>
          <w:top w:val="nil"/>
          <w:left w:val="nil"/>
          <w:bottom w:val="nil"/>
          <w:right w:val="nil"/>
          <w:insideH w:val="nil"/>
          <w:insideV w:val="nil"/>
          <w:tl2br w:val="nil"/>
          <w:tr2bl w:val="nil"/>
        </w:tcBorders>
      </w:tcPr>
    </w:tblStylePr>
    <w:tblStylePr w:type="band1Vert">
      <w:rPr>
        <w:rFonts w:cs="Arial"/>
        <w:color w:val="auto"/>
      </w:rPr>
      <w:tblPr/>
      <w:tcPr>
        <w:shd w:val="pct50" w:color="008080" w:fill="FFFFFF"/>
      </w:tcPr>
    </w:tblStylePr>
    <w:tblStylePr w:type="band2Vert">
      <w:rPr>
        <w:rFonts w:cs="Arial"/>
        <w:color w:val="auto"/>
      </w:rPr>
      <w:tblPr/>
      <w:tcPr>
        <w:shd w:val="pct10" w:color="000000" w:fill="FFFFFF"/>
      </w:tcPr>
    </w:tblStylePr>
  </w:style>
  <w:style w:type="table" w:styleId="107">
    <w:name w:val="Table Columns 5"/>
    <w:basedOn w:val="75"/>
    <w:semiHidden/>
    <w:qFormat/>
    <w:uiPriority w:val="99"/>
    <w:pPr>
      <w:widowControl w:val="0"/>
      <w:spacing w:after="200" w:line="276" w:lineRule="auto"/>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rFonts w:cs="Arial"/>
        <w:b/>
        <w:bCs/>
        <w:i/>
        <w:iCs/>
      </w:rPr>
      <w:tblPr/>
      <w:tcPr>
        <w:tcBorders>
          <w:top w:val="nil"/>
          <w:left w:val="single" w:color="808080" w:sz="6" w:space="0"/>
          <w:bottom w:val="nil"/>
          <w:right w:val="nil"/>
          <w:insideH w:val="nil"/>
          <w:insideV w:val="nil"/>
          <w:tl2br w:val="nil"/>
          <w:tr2bl w:val="nil"/>
        </w:tcBorders>
      </w:tcPr>
    </w:tblStylePr>
    <w:tblStylePr w:type="lastRow">
      <w:rPr>
        <w:rFonts w:cs="Arial"/>
        <w:b/>
        <w:bCs/>
      </w:rPr>
      <w:tblPr/>
      <w:tcPr>
        <w:tcBorders>
          <w:top w:val="single" w:color="808080" w:sz="6" w:space="0"/>
          <w:left w:val="nil"/>
          <w:bottom w:val="nil"/>
          <w:right w:val="nil"/>
          <w:insideH w:val="nil"/>
          <w:insideV w:val="nil"/>
          <w:tl2br w:val="nil"/>
          <w:tr2bl w:val="nil"/>
        </w:tcBorders>
      </w:tcPr>
    </w:tblStylePr>
    <w:tblStylePr w:type="firstCol">
      <w:rPr>
        <w:rFonts w:cs="Arial"/>
        <w:b/>
        <w:bCs/>
      </w:rPr>
      <w:tblPr/>
      <w:tcPr>
        <w:tcBorders>
          <w:top w:val="nil"/>
          <w:left w:val="nil"/>
          <w:bottom w:val="nil"/>
          <w:right w:val="nil"/>
          <w:insideH w:val="nil"/>
          <w:insideV w:val="nil"/>
          <w:tl2br w:val="nil"/>
          <w:tr2bl w:val="nil"/>
        </w:tcBorders>
      </w:tcPr>
    </w:tblStylePr>
    <w:tblStylePr w:type="lastCol">
      <w:rPr>
        <w:rFonts w:cs="Arial"/>
        <w:b/>
        <w:bCs/>
      </w:rPr>
      <w:tblPr/>
      <w:tcPr>
        <w:tcBorders>
          <w:top w:val="nil"/>
          <w:left w:val="nil"/>
          <w:bottom w:val="nil"/>
          <w:right w:val="nil"/>
          <w:insideH w:val="nil"/>
          <w:insideV w:val="nil"/>
          <w:tl2br w:val="nil"/>
          <w:tr2bl w:val="nil"/>
        </w:tcBorders>
      </w:tcPr>
    </w:tblStylePr>
    <w:tblStylePr w:type="band1Vert">
      <w:rPr>
        <w:rFonts w:cs="Arial"/>
        <w:color w:val="auto"/>
      </w:rPr>
      <w:tblPr/>
      <w:tcPr>
        <w:shd w:val="solid" w:color="C0C0C0" w:fill="FFFFFF"/>
      </w:tcPr>
    </w:tblStylePr>
    <w:tblStylePr w:type="band2Vert">
      <w:rPr>
        <w:rFonts w:cs="Arial"/>
        <w:color w:val="auto"/>
      </w:rPr>
    </w:tblStylePr>
  </w:style>
  <w:style w:type="table" w:styleId="108">
    <w:name w:val="Table Grid 1"/>
    <w:basedOn w:val="75"/>
    <w:semiHidden/>
    <w:qFormat/>
    <w:uiPriority w:val="99"/>
    <w:pPr>
      <w:widowControl w:val="0"/>
      <w:spacing w:after="200" w:line="276"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rFonts w:cs="Arial"/>
        <w:i/>
        <w:iCs/>
      </w:rPr>
      <w:tblPr/>
      <w:tcPr>
        <w:tcBorders>
          <w:top w:val="nil"/>
          <w:left w:val="nil"/>
          <w:bottom w:val="nil"/>
          <w:right w:val="nil"/>
          <w:insideH w:val="nil"/>
          <w:insideV w:val="nil"/>
          <w:tl2br w:val="nil"/>
          <w:tr2bl w:val="nil"/>
        </w:tcBorders>
      </w:tcPr>
    </w:tblStylePr>
    <w:tblStylePr w:type="lastCol">
      <w:rPr>
        <w:rFonts w:cs="Arial"/>
        <w:i/>
        <w:iCs/>
      </w:rPr>
      <w:tblPr/>
      <w:tcPr>
        <w:tcBorders>
          <w:top w:val="nil"/>
          <w:left w:val="nil"/>
          <w:bottom w:val="nil"/>
          <w:right w:val="nil"/>
          <w:insideH w:val="nil"/>
          <w:insideV w:val="nil"/>
          <w:tl2br w:val="nil"/>
          <w:tr2bl w:val="nil"/>
        </w:tcBorders>
      </w:tcPr>
    </w:tblStylePr>
    <w:tblStylePr w:type="nwCell">
      <w:rPr>
        <w:rFonts w:cs="Arial"/>
      </w:rPr>
      <w:tblPr/>
      <w:tcPr>
        <w:tcBorders>
          <w:top w:val="nil"/>
          <w:left w:val="nil"/>
          <w:bottom w:val="nil"/>
          <w:right w:val="nil"/>
          <w:insideH w:val="nil"/>
          <w:insideV w:val="nil"/>
          <w:tl2br w:val="single" w:color="000000" w:sz="6" w:space="0"/>
          <w:tr2bl w:val="nil"/>
        </w:tcBorders>
      </w:tcPr>
    </w:tblStylePr>
  </w:style>
  <w:style w:type="table" w:styleId="109">
    <w:name w:val="Table Grid 2"/>
    <w:basedOn w:val="75"/>
    <w:semiHidden/>
    <w:qFormat/>
    <w:uiPriority w:val="99"/>
    <w:pPr>
      <w:widowControl w:val="0"/>
      <w:spacing w:after="200" w:line="276" w:lineRule="auto"/>
    </w:pPr>
    <w:tblPr>
      <w:tblBorders>
        <w:insideH w:val="single" w:color="000000" w:sz="6" w:space="0"/>
        <w:insideV w:val="single" w:color="000000" w:sz="6" w:space="0"/>
      </w:tblBorders>
      <w:tblCellMar>
        <w:top w:w="0" w:type="dxa"/>
        <w:left w:w="108" w:type="dxa"/>
        <w:bottom w:w="0" w:type="dxa"/>
        <w:right w:w="108" w:type="dxa"/>
      </w:tblCellMar>
    </w:tblPr>
    <w:tblStylePr w:type="firstRow">
      <w:rPr>
        <w:rFonts w:cs="Arial"/>
        <w:b/>
        <w:bCs/>
      </w:rPr>
      <w:tblPr/>
      <w:tcPr>
        <w:tcBorders>
          <w:top w:val="nil"/>
          <w:left w:val="nil"/>
          <w:bottom w:val="nil"/>
          <w:right w:val="nil"/>
          <w:insideH w:val="nil"/>
          <w:insideV w:val="nil"/>
          <w:tl2br w:val="nil"/>
          <w:tr2bl w:val="nil"/>
        </w:tcBorders>
      </w:tcPr>
    </w:tblStylePr>
    <w:tblStylePr w:type="lastRow">
      <w:rPr>
        <w:rFonts w:cs="Arial"/>
        <w:b/>
        <w:bCs/>
      </w:rPr>
      <w:tblPr/>
      <w:tcPr>
        <w:tcBorders>
          <w:top w:val="single" w:color="000000" w:sz="6" w:space="0"/>
          <w:left w:val="nil"/>
          <w:bottom w:val="nil"/>
          <w:right w:val="nil"/>
          <w:insideH w:val="nil"/>
          <w:insideV w:val="nil"/>
          <w:tl2br w:val="nil"/>
          <w:tr2bl w:val="nil"/>
        </w:tcBorders>
      </w:tcPr>
    </w:tblStylePr>
    <w:tblStylePr w:type="firstCol">
      <w:rPr>
        <w:rFonts w:cs="Arial"/>
        <w:b/>
        <w:bCs/>
      </w:rPr>
      <w:tblPr/>
      <w:tcPr>
        <w:tcBorders>
          <w:top w:val="nil"/>
          <w:left w:val="nil"/>
          <w:bottom w:val="nil"/>
          <w:right w:val="nil"/>
          <w:insideH w:val="nil"/>
          <w:insideV w:val="nil"/>
          <w:tl2br w:val="nil"/>
          <w:tr2bl w:val="nil"/>
        </w:tcBorders>
      </w:tcPr>
    </w:tblStylePr>
    <w:tblStylePr w:type="lastCol">
      <w:rPr>
        <w:rFonts w:cs="Arial"/>
        <w:b/>
        <w:bCs/>
      </w:rPr>
      <w:tblPr/>
      <w:tcPr>
        <w:tcBorders>
          <w:top w:val="nil"/>
          <w:left w:val="nil"/>
          <w:bottom w:val="nil"/>
          <w:right w:val="nil"/>
          <w:insideH w:val="nil"/>
          <w:insideV w:val="nil"/>
          <w:tl2br w:val="nil"/>
          <w:tr2bl w:val="nil"/>
        </w:tcBorders>
      </w:tcPr>
    </w:tblStylePr>
  </w:style>
  <w:style w:type="table" w:styleId="110">
    <w:name w:val="Table Grid 3"/>
    <w:basedOn w:val="75"/>
    <w:semiHidden/>
    <w:qFormat/>
    <w:uiPriority w:val="99"/>
    <w:pPr>
      <w:widowControl w:val="0"/>
      <w:spacing w:after="200" w:line="276" w:lineRule="auto"/>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blStylePr w:type="firstRow">
      <w:rPr>
        <w:rFonts w:cs="Arial"/>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rFonts w:cs="Arial"/>
        <w:b/>
        <w:bCs/>
      </w:rPr>
      <w:tblPr/>
      <w:tcPr>
        <w:tcBorders>
          <w:top w:val="nil"/>
          <w:left w:val="nil"/>
          <w:bottom w:val="nil"/>
          <w:right w:val="nil"/>
          <w:insideH w:val="nil"/>
          <w:insideV w:val="nil"/>
          <w:tl2br w:val="nil"/>
          <w:tr2bl w:val="nil"/>
        </w:tcBorders>
      </w:tcPr>
    </w:tblStylePr>
    <w:tblStylePr w:type="lastCol">
      <w:rPr>
        <w:rFonts w:cs="Arial"/>
        <w:b/>
        <w:bCs/>
      </w:rPr>
      <w:tblPr/>
      <w:tcPr>
        <w:tcBorders>
          <w:top w:val="nil"/>
          <w:left w:val="nil"/>
          <w:bottom w:val="nil"/>
          <w:right w:val="nil"/>
          <w:insideH w:val="nil"/>
          <w:insideV w:val="nil"/>
          <w:tl2br w:val="nil"/>
          <w:tr2bl w:val="nil"/>
        </w:tcBorders>
      </w:tcPr>
    </w:tblStylePr>
    <w:tblStylePr w:type="nwCell">
      <w:rPr>
        <w:rFonts w:cs="Arial"/>
      </w:rPr>
      <w:tblPr/>
      <w:tcPr>
        <w:tcBorders>
          <w:top w:val="nil"/>
          <w:left w:val="nil"/>
          <w:bottom w:val="nil"/>
          <w:right w:val="nil"/>
          <w:insideH w:val="nil"/>
          <w:insideV w:val="nil"/>
          <w:tl2br w:val="single" w:color="000000" w:sz="6" w:space="0"/>
          <w:tr2bl w:val="nil"/>
        </w:tcBorders>
      </w:tcPr>
    </w:tblStylePr>
  </w:style>
  <w:style w:type="table" w:styleId="111">
    <w:name w:val="Table Grid 4"/>
    <w:basedOn w:val="75"/>
    <w:semiHidden/>
    <w:qFormat/>
    <w:uiPriority w:val="99"/>
    <w:pPr>
      <w:widowControl w:val="0"/>
      <w:spacing w:after="200" w:line="276" w:lineRule="auto"/>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rFonts w:cs="Arial"/>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rFonts w:cs="Arial"/>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rFonts w:cs="Arial"/>
        <w:b/>
        <w:bCs/>
        <w:color w:val="auto"/>
      </w:rPr>
      <w:tblPr/>
      <w:tcPr>
        <w:tcBorders>
          <w:top w:val="nil"/>
          <w:left w:val="nil"/>
          <w:bottom w:val="nil"/>
          <w:right w:val="nil"/>
          <w:insideH w:val="nil"/>
          <w:insideV w:val="nil"/>
          <w:tl2br w:val="nil"/>
          <w:tr2bl w:val="nil"/>
        </w:tcBorders>
      </w:tcPr>
    </w:tblStylePr>
  </w:style>
  <w:style w:type="table" w:styleId="112">
    <w:name w:val="Table Grid 5"/>
    <w:basedOn w:val="75"/>
    <w:semiHidden/>
    <w:qFormat/>
    <w:uiPriority w:val="99"/>
    <w:pPr>
      <w:widowControl w:val="0"/>
      <w:spacing w:after="200" w:line="276" w:lineRule="auto"/>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rFonts w:cs="Arial"/>
      </w:rPr>
      <w:tblPr/>
      <w:tcPr>
        <w:tcBorders>
          <w:top w:val="nil"/>
          <w:left w:val="single" w:color="000000" w:sz="12" w:space="0"/>
          <w:bottom w:val="nil"/>
          <w:right w:val="nil"/>
          <w:insideH w:val="nil"/>
          <w:insideV w:val="nil"/>
          <w:tl2br w:val="nil"/>
          <w:tr2bl w:val="nil"/>
        </w:tcBorders>
      </w:tcPr>
    </w:tblStylePr>
    <w:tblStylePr w:type="lastRow">
      <w:rPr>
        <w:rFonts w:cs="Arial"/>
        <w:b/>
        <w:bCs/>
      </w:rPr>
      <w:tblPr/>
      <w:tcPr>
        <w:tcBorders>
          <w:top w:val="nil"/>
          <w:left w:val="nil"/>
          <w:bottom w:val="nil"/>
          <w:right w:val="nil"/>
          <w:insideH w:val="nil"/>
          <w:insideV w:val="nil"/>
          <w:tl2br w:val="nil"/>
          <w:tr2bl w:val="nil"/>
        </w:tcBorders>
      </w:tcPr>
    </w:tblStylePr>
    <w:tblStylePr w:type="lastCol">
      <w:rPr>
        <w:rFonts w:cs="Arial"/>
        <w:b/>
        <w:bCs/>
      </w:rPr>
      <w:tblPr/>
      <w:tcPr>
        <w:tcBorders>
          <w:top w:val="nil"/>
          <w:left w:val="nil"/>
          <w:bottom w:val="nil"/>
          <w:right w:val="nil"/>
          <w:insideH w:val="nil"/>
          <w:insideV w:val="nil"/>
          <w:tl2br w:val="nil"/>
          <w:tr2bl w:val="nil"/>
        </w:tcBorders>
      </w:tcPr>
    </w:tblStylePr>
    <w:tblStylePr w:type="nwCell">
      <w:rPr>
        <w:rFonts w:cs="Arial"/>
      </w:rPr>
      <w:tblPr/>
      <w:tcPr>
        <w:tcBorders>
          <w:top w:val="nil"/>
          <w:left w:val="nil"/>
          <w:bottom w:val="nil"/>
          <w:right w:val="nil"/>
          <w:insideH w:val="nil"/>
          <w:insideV w:val="nil"/>
          <w:tl2br w:val="single" w:color="000000" w:sz="6" w:space="0"/>
          <w:tr2bl w:val="nil"/>
        </w:tcBorders>
      </w:tcPr>
    </w:tblStylePr>
  </w:style>
  <w:style w:type="table" w:styleId="113">
    <w:name w:val="Table Grid 6"/>
    <w:basedOn w:val="75"/>
    <w:semiHidden/>
    <w:qFormat/>
    <w:uiPriority w:val="99"/>
    <w:pPr>
      <w:widowControl w:val="0"/>
      <w:spacing w:after="200" w:line="276" w:lineRule="auto"/>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blStylePr w:type="firstRow">
      <w:rPr>
        <w:rFonts w:cs="Arial"/>
        <w:b/>
        <w:bCs/>
      </w:rPr>
      <w:tblPr/>
      <w:tcPr>
        <w:tcBorders>
          <w:top w:val="nil"/>
          <w:left w:val="single" w:color="000000" w:sz="6" w:space="0"/>
          <w:bottom w:val="nil"/>
          <w:right w:val="nil"/>
          <w:insideH w:val="nil"/>
          <w:insideV w:val="nil"/>
          <w:tl2br w:val="nil"/>
          <w:tr2bl w:val="nil"/>
        </w:tcBorders>
      </w:tcPr>
    </w:tblStylePr>
    <w:tblStylePr w:type="lastRow">
      <w:rPr>
        <w:rFonts w:cs="Arial"/>
        <w:color w:val="auto"/>
      </w:rPr>
      <w:tblPr/>
      <w:tcPr>
        <w:tcBorders>
          <w:top w:val="single" w:color="000000" w:sz="6" w:space="0"/>
          <w:left w:val="nil"/>
          <w:bottom w:val="nil"/>
          <w:right w:val="nil"/>
          <w:insideH w:val="nil"/>
          <w:insideV w:val="nil"/>
          <w:tl2br w:val="nil"/>
          <w:tr2bl w:val="nil"/>
        </w:tcBorders>
      </w:tcPr>
    </w:tblStylePr>
    <w:tblStylePr w:type="firstCol">
      <w:rPr>
        <w:rFonts w:cs="Arial"/>
        <w:b/>
        <w:bCs/>
      </w:rPr>
      <w:tblPr/>
      <w:tcPr>
        <w:tcBorders>
          <w:top w:val="nil"/>
          <w:left w:val="nil"/>
          <w:bottom w:val="nil"/>
          <w:right w:val="nil"/>
          <w:insideH w:val="nil"/>
          <w:insideV w:val="nil"/>
          <w:tl2br w:val="nil"/>
          <w:tr2bl w:val="nil"/>
        </w:tcBorders>
      </w:tcPr>
    </w:tblStylePr>
    <w:tblStylePr w:type="nwCell">
      <w:rPr>
        <w:rFonts w:cs="Arial"/>
      </w:rPr>
      <w:tblPr/>
      <w:tcPr>
        <w:tcBorders>
          <w:top w:val="nil"/>
          <w:left w:val="nil"/>
          <w:bottom w:val="nil"/>
          <w:right w:val="nil"/>
          <w:insideH w:val="nil"/>
          <w:insideV w:val="nil"/>
          <w:tl2br w:val="single" w:color="000000" w:sz="6" w:space="0"/>
          <w:tr2bl w:val="nil"/>
        </w:tcBorders>
      </w:tcPr>
    </w:tblStylePr>
  </w:style>
  <w:style w:type="table" w:styleId="114">
    <w:name w:val="Table Grid 7"/>
    <w:basedOn w:val="75"/>
    <w:semiHidden/>
    <w:qFormat/>
    <w:uiPriority w:val="99"/>
    <w:pPr>
      <w:widowControl w:val="0"/>
      <w:spacing w:after="200" w:line="276" w:lineRule="auto"/>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rFonts w:cs="Arial"/>
        <w:b w:val="0"/>
        <w:bCs w:val="0"/>
      </w:rPr>
      <w:tblPr/>
      <w:tcPr>
        <w:tcBorders>
          <w:top w:val="nil"/>
          <w:left w:val="single" w:color="000000" w:sz="12" w:space="0"/>
          <w:bottom w:val="nil"/>
          <w:right w:val="nil"/>
          <w:insideH w:val="nil"/>
          <w:insideV w:val="nil"/>
          <w:tl2br w:val="nil"/>
          <w:tr2bl w:val="nil"/>
        </w:tcBorders>
      </w:tcPr>
    </w:tblStylePr>
    <w:tblStylePr w:type="lastRow">
      <w:rPr>
        <w:rFonts w:cs="Arial"/>
        <w:b w:val="0"/>
        <w:bCs w:val="0"/>
      </w:rPr>
      <w:tblPr/>
      <w:tcPr>
        <w:tcBorders>
          <w:top w:val="single" w:color="000000" w:sz="6" w:space="0"/>
          <w:left w:val="nil"/>
          <w:bottom w:val="nil"/>
          <w:right w:val="nil"/>
          <w:insideH w:val="nil"/>
          <w:insideV w:val="nil"/>
          <w:tl2br w:val="nil"/>
          <w:tr2bl w:val="nil"/>
        </w:tcBorders>
      </w:tcPr>
    </w:tblStylePr>
    <w:tblStylePr w:type="firstCol">
      <w:rPr>
        <w:rFonts w:cs="Arial"/>
        <w:b w:val="0"/>
        <w:bCs w:val="0"/>
      </w:rPr>
      <w:tblPr/>
      <w:tcPr>
        <w:tcBorders>
          <w:top w:val="nil"/>
          <w:left w:val="nil"/>
          <w:bottom w:val="nil"/>
          <w:right w:val="nil"/>
          <w:insideH w:val="nil"/>
          <w:insideV w:val="nil"/>
          <w:tl2br w:val="nil"/>
          <w:tr2bl w:val="nil"/>
        </w:tcBorders>
      </w:tcPr>
    </w:tblStylePr>
    <w:tblStylePr w:type="lastCol">
      <w:rPr>
        <w:rFonts w:cs="Arial"/>
        <w:b w:val="0"/>
        <w:bCs w:val="0"/>
      </w:rPr>
      <w:tblPr/>
      <w:tcPr>
        <w:tcBorders>
          <w:top w:val="nil"/>
          <w:left w:val="nil"/>
          <w:bottom w:val="nil"/>
          <w:right w:val="nil"/>
          <w:insideH w:val="nil"/>
          <w:insideV w:val="nil"/>
          <w:tl2br w:val="nil"/>
          <w:tr2bl w:val="nil"/>
        </w:tcBorders>
      </w:tcPr>
    </w:tblStylePr>
    <w:tblStylePr w:type="nwCell">
      <w:rPr>
        <w:rFonts w:cs="Arial"/>
      </w:rPr>
      <w:tblPr/>
      <w:tcPr>
        <w:tcBorders>
          <w:top w:val="nil"/>
          <w:left w:val="nil"/>
          <w:bottom w:val="nil"/>
          <w:right w:val="nil"/>
          <w:insideH w:val="nil"/>
          <w:insideV w:val="nil"/>
          <w:tl2br w:val="single" w:color="000000" w:sz="6" w:space="0"/>
          <w:tr2bl w:val="nil"/>
        </w:tcBorders>
      </w:tcPr>
    </w:tblStylePr>
  </w:style>
  <w:style w:type="table" w:styleId="115">
    <w:name w:val="Table Grid 8"/>
    <w:basedOn w:val="75"/>
    <w:semiHidden/>
    <w:qFormat/>
    <w:uiPriority w:val="99"/>
    <w:pPr>
      <w:widowControl w:val="0"/>
      <w:spacing w:after="200" w:line="276" w:lineRule="auto"/>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rFonts w:cs="Arial"/>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Arial"/>
        <w:b/>
        <w:bCs/>
        <w:color w:val="auto"/>
      </w:rPr>
      <w:tblPr/>
      <w:tcPr>
        <w:tcBorders>
          <w:top w:val="nil"/>
          <w:left w:val="nil"/>
          <w:bottom w:val="nil"/>
          <w:right w:val="nil"/>
          <w:insideH w:val="nil"/>
          <w:insideV w:val="nil"/>
          <w:tl2br w:val="nil"/>
          <w:tr2bl w:val="nil"/>
        </w:tcBorders>
      </w:tcPr>
    </w:tblStylePr>
    <w:tblStylePr w:type="lastCol">
      <w:rPr>
        <w:rFonts w:cs="Arial"/>
        <w:b/>
        <w:bCs/>
        <w:color w:val="auto"/>
      </w:rPr>
      <w:tblPr/>
      <w:tcPr>
        <w:tcBorders>
          <w:top w:val="nil"/>
          <w:left w:val="nil"/>
          <w:bottom w:val="nil"/>
          <w:right w:val="nil"/>
          <w:insideH w:val="nil"/>
          <w:insideV w:val="nil"/>
          <w:tl2br w:val="nil"/>
          <w:tr2bl w:val="nil"/>
        </w:tcBorders>
      </w:tcPr>
    </w:tblStylePr>
  </w:style>
  <w:style w:type="table" w:styleId="116">
    <w:name w:val="Table Web 1"/>
    <w:basedOn w:val="75"/>
    <w:semiHidden/>
    <w:qFormat/>
    <w:uiPriority w:val="99"/>
    <w:pPr>
      <w:widowControl w:val="0"/>
      <w:spacing w:after="200" w:line="276" w:lineRule="auto"/>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rFonts w:cs="Arial"/>
        <w:color w:val="auto"/>
      </w:rPr>
      <w:tblPr/>
      <w:tcPr>
        <w:tcBorders>
          <w:top w:val="nil"/>
          <w:left w:val="nil"/>
          <w:bottom w:val="nil"/>
          <w:right w:val="nil"/>
          <w:insideH w:val="nil"/>
          <w:insideV w:val="nil"/>
          <w:tl2br w:val="nil"/>
          <w:tr2bl w:val="nil"/>
        </w:tcBorders>
      </w:tcPr>
    </w:tblStylePr>
  </w:style>
  <w:style w:type="table" w:styleId="117">
    <w:name w:val="Table Web 2"/>
    <w:basedOn w:val="75"/>
    <w:semiHidden/>
    <w:qFormat/>
    <w:uiPriority w:val="99"/>
    <w:pPr>
      <w:widowControl w:val="0"/>
      <w:spacing w:after="200" w:line="276" w:lineRule="auto"/>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blStylePr w:type="firstRow">
      <w:rPr>
        <w:rFonts w:cs="Arial"/>
        <w:color w:val="auto"/>
      </w:rPr>
      <w:tblPr/>
      <w:tcPr>
        <w:tcBorders>
          <w:top w:val="nil"/>
          <w:left w:val="nil"/>
          <w:bottom w:val="nil"/>
          <w:right w:val="nil"/>
          <w:insideH w:val="nil"/>
          <w:insideV w:val="nil"/>
          <w:tl2br w:val="nil"/>
          <w:tr2bl w:val="nil"/>
        </w:tcBorders>
      </w:tcPr>
    </w:tblStylePr>
  </w:style>
  <w:style w:type="table" w:styleId="118">
    <w:name w:val="Table Web 3"/>
    <w:basedOn w:val="75"/>
    <w:semiHidden/>
    <w:qFormat/>
    <w:uiPriority w:val="99"/>
    <w:pPr>
      <w:widowControl w:val="0"/>
      <w:spacing w:after="200" w:line="276" w:lineRule="auto"/>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rFonts w:cs="Arial"/>
        <w:color w:val="auto"/>
      </w:rPr>
      <w:tblPr/>
      <w:tcPr>
        <w:tcBorders>
          <w:top w:val="nil"/>
          <w:left w:val="nil"/>
          <w:bottom w:val="nil"/>
          <w:right w:val="nil"/>
          <w:insideH w:val="nil"/>
          <w:insideV w:val="nil"/>
          <w:tl2br w:val="nil"/>
          <w:tr2bl w:val="nil"/>
        </w:tcBorders>
      </w:tcPr>
    </w:tblStylePr>
  </w:style>
  <w:style w:type="table" w:styleId="119">
    <w:name w:val="Table Professional"/>
    <w:basedOn w:val="75"/>
    <w:semiHidden/>
    <w:qFormat/>
    <w:uiPriority w:val="99"/>
    <w:pPr>
      <w:widowControl w:val="0"/>
      <w:spacing w:after="200" w:line="276"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Arial"/>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21">
    <w:name w:val="Strong"/>
    <w:qFormat/>
    <w:uiPriority w:val="99"/>
    <w:rPr>
      <w:rFonts w:cs="Times New Roman"/>
      <w:b/>
    </w:rPr>
  </w:style>
  <w:style w:type="character" w:styleId="122">
    <w:name w:val="page number"/>
    <w:qFormat/>
    <w:uiPriority w:val="99"/>
    <w:rPr>
      <w:rFonts w:cs="Times New Roman"/>
    </w:rPr>
  </w:style>
  <w:style w:type="character" w:styleId="123">
    <w:name w:val="FollowedHyperlink"/>
    <w:unhideWhenUsed/>
    <w:qFormat/>
    <w:locked/>
    <w:uiPriority w:val="99"/>
    <w:rPr>
      <w:color w:val="000000"/>
      <w:u w:val="none"/>
    </w:rPr>
  </w:style>
  <w:style w:type="character" w:styleId="124">
    <w:name w:val="Emphasis"/>
    <w:qFormat/>
    <w:uiPriority w:val="99"/>
    <w:rPr>
      <w:rFonts w:cs="Times New Roman"/>
      <w:color w:val="CC0000"/>
    </w:rPr>
  </w:style>
  <w:style w:type="character" w:styleId="125">
    <w:name w:val="line number"/>
    <w:qFormat/>
    <w:uiPriority w:val="99"/>
    <w:rPr>
      <w:rFonts w:cs="Times New Roman"/>
    </w:rPr>
  </w:style>
  <w:style w:type="character" w:styleId="126">
    <w:name w:val="HTML Definition"/>
    <w:semiHidden/>
    <w:qFormat/>
    <w:uiPriority w:val="99"/>
    <w:rPr>
      <w:rFonts w:cs="Times New Roman"/>
      <w:i/>
    </w:rPr>
  </w:style>
  <w:style w:type="character" w:styleId="127">
    <w:name w:val="HTML Typewriter"/>
    <w:semiHidden/>
    <w:qFormat/>
    <w:uiPriority w:val="99"/>
    <w:rPr>
      <w:rFonts w:ascii="Courier New" w:hAnsi="Courier New" w:cs="Times New Roman"/>
      <w:sz w:val="20"/>
    </w:rPr>
  </w:style>
  <w:style w:type="character" w:styleId="128">
    <w:name w:val="HTML Acronym"/>
    <w:semiHidden/>
    <w:qFormat/>
    <w:uiPriority w:val="99"/>
    <w:rPr>
      <w:rFonts w:cs="Times New Roman"/>
    </w:rPr>
  </w:style>
  <w:style w:type="character" w:styleId="129">
    <w:name w:val="HTML Variable"/>
    <w:semiHidden/>
    <w:qFormat/>
    <w:uiPriority w:val="99"/>
    <w:rPr>
      <w:rFonts w:cs="Times New Roman"/>
      <w:i/>
    </w:rPr>
  </w:style>
  <w:style w:type="character" w:styleId="130">
    <w:name w:val="Hyperlink"/>
    <w:qFormat/>
    <w:uiPriority w:val="99"/>
    <w:rPr>
      <w:rFonts w:cs="Times New Roman"/>
      <w:color w:val="1F4F88"/>
      <w:u w:val="none"/>
    </w:rPr>
  </w:style>
  <w:style w:type="character" w:styleId="131">
    <w:name w:val="HTML Code"/>
    <w:semiHidden/>
    <w:qFormat/>
    <w:uiPriority w:val="99"/>
    <w:rPr>
      <w:rFonts w:ascii="Courier New" w:hAnsi="Courier New" w:cs="Times New Roman"/>
      <w:sz w:val="20"/>
    </w:rPr>
  </w:style>
  <w:style w:type="character" w:styleId="132">
    <w:name w:val="annotation reference"/>
    <w:qFormat/>
    <w:uiPriority w:val="99"/>
    <w:rPr>
      <w:rFonts w:cs="Times New Roman"/>
      <w:sz w:val="21"/>
    </w:rPr>
  </w:style>
  <w:style w:type="character" w:styleId="133">
    <w:name w:val="HTML Cite"/>
    <w:semiHidden/>
    <w:qFormat/>
    <w:uiPriority w:val="99"/>
    <w:rPr>
      <w:rFonts w:cs="Times New Roman"/>
      <w:i/>
    </w:rPr>
  </w:style>
  <w:style w:type="character" w:styleId="134">
    <w:name w:val="HTML Keyboard"/>
    <w:semiHidden/>
    <w:qFormat/>
    <w:uiPriority w:val="99"/>
    <w:rPr>
      <w:rFonts w:ascii="Courier New" w:hAnsi="Courier New" w:cs="Times New Roman"/>
      <w:sz w:val="20"/>
    </w:rPr>
  </w:style>
  <w:style w:type="character" w:styleId="135">
    <w:name w:val="HTML Sample"/>
    <w:semiHidden/>
    <w:qFormat/>
    <w:uiPriority w:val="99"/>
    <w:rPr>
      <w:rFonts w:ascii="Courier New" w:hAnsi="Courier New" w:cs="Times New Roman"/>
    </w:rPr>
  </w:style>
  <w:style w:type="character" w:customStyle="1" w:styleId="136">
    <w:name w:val="标题 1 字符"/>
    <w:link w:val="2"/>
    <w:qFormat/>
    <w:locked/>
    <w:uiPriority w:val="99"/>
    <w:rPr>
      <w:rFonts w:eastAsia="宋体" w:cs="Times New Roman"/>
      <w:b/>
      <w:kern w:val="44"/>
      <w:sz w:val="44"/>
    </w:rPr>
  </w:style>
  <w:style w:type="character" w:customStyle="1" w:styleId="137">
    <w:name w:val="标题 2 字符"/>
    <w:link w:val="3"/>
    <w:qFormat/>
    <w:locked/>
    <w:uiPriority w:val="99"/>
    <w:rPr>
      <w:rFonts w:ascii="Arial" w:hAnsi="Arial" w:eastAsia="黑体" w:cs="Times New Roman"/>
      <w:b/>
      <w:sz w:val="32"/>
    </w:rPr>
  </w:style>
  <w:style w:type="character" w:customStyle="1" w:styleId="138">
    <w:name w:val="标题 3 字符"/>
    <w:link w:val="4"/>
    <w:qFormat/>
    <w:locked/>
    <w:uiPriority w:val="99"/>
    <w:rPr>
      <w:rFonts w:eastAsia="宋体" w:cs="Times New Roman"/>
      <w:b/>
      <w:sz w:val="32"/>
    </w:rPr>
  </w:style>
  <w:style w:type="character" w:customStyle="1" w:styleId="139">
    <w:name w:val="标题 4 字符"/>
    <w:link w:val="5"/>
    <w:qFormat/>
    <w:locked/>
    <w:uiPriority w:val="99"/>
    <w:rPr>
      <w:rFonts w:ascii="Arial" w:hAnsi="Arial" w:eastAsia="黑体" w:cs="Times New Roman"/>
      <w:b/>
      <w:sz w:val="28"/>
    </w:rPr>
  </w:style>
  <w:style w:type="character" w:customStyle="1" w:styleId="140">
    <w:name w:val="标题 5 字符"/>
    <w:link w:val="6"/>
    <w:qFormat/>
    <w:locked/>
    <w:uiPriority w:val="99"/>
    <w:rPr>
      <w:rFonts w:eastAsia="宋体" w:cs="Times New Roman"/>
      <w:b/>
      <w:sz w:val="28"/>
    </w:rPr>
  </w:style>
  <w:style w:type="character" w:customStyle="1" w:styleId="141">
    <w:name w:val="标题 6 字符"/>
    <w:link w:val="7"/>
    <w:qFormat/>
    <w:locked/>
    <w:uiPriority w:val="99"/>
    <w:rPr>
      <w:rFonts w:ascii="Arial" w:hAnsi="Arial" w:eastAsia="黑体" w:cs="Times New Roman"/>
      <w:b/>
    </w:rPr>
  </w:style>
  <w:style w:type="character" w:customStyle="1" w:styleId="142">
    <w:name w:val="标题 7 字符"/>
    <w:link w:val="8"/>
    <w:semiHidden/>
    <w:qFormat/>
    <w:locked/>
    <w:uiPriority w:val="99"/>
    <w:rPr>
      <w:rFonts w:cs="Times New Roman"/>
      <w:b/>
      <w:sz w:val="24"/>
    </w:rPr>
  </w:style>
  <w:style w:type="character" w:customStyle="1" w:styleId="143">
    <w:name w:val="标题 8 字符"/>
    <w:link w:val="9"/>
    <w:semiHidden/>
    <w:qFormat/>
    <w:locked/>
    <w:uiPriority w:val="99"/>
    <w:rPr>
      <w:rFonts w:ascii="Cambria" w:hAnsi="Cambria" w:eastAsia="宋体" w:cs="Times New Roman"/>
      <w:sz w:val="24"/>
    </w:rPr>
  </w:style>
  <w:style w:type="character" w:customStyle="1" w:styleId="144">
    <w:name w:val="标题 9 字符"/>
    <w:link w:val="10"/>
    <w:semiHidden/>
    <w:qFormat/>
    <w:locked/>
    <w:uiPriority w:val="99"/>
    <w:rPr>
      <w:rFonts w:ascii="Cambria" w:hAnsi="Cambria" w:eastAsia="宋体" w:cs="Times New Roman"/>
      <w:sz w:val="21"/>
    </w:rPr>
  </w:style>
  <w:style w:type="character" w:customStyle="1" w:styleId="145">
    <w:name w:val="注释标题 字符"/>
    <w:link w:val="15"/>
    <w:semiHidden/>
    <w:qFormat/>
    <w:locked/>
    <w:uiPriority w:val="99"/>
    <w:rPr>
      <w:rFonts w:cs="Times New Roman"/>
      <w:sz w:val="24"/>
    </w:rPr>
  </w:style>
  <w:style w:type="character" w:customStyle="1" w:styleId="146">
    <w:name w:val="电子邮件签名 字符"/>
    <w:link w:val="17"/>
    <w:semiHidden/>
    <w:qFormat/>
    <w:locked/>
    <w:uiPriority w:val="99"/>
    <w:rPr>
      <w:rFonts w:cs="Times New Roman"/>
      <w:sz w:val="24"/>
    </w:rPr>
  </w:style>
  <w:style w:type="character" w:customStyle="1" w:styleId="147">
    <w:name w:val="正文缩进 字符"/>
    <w:link w:val="19"/>
    <w:qFormat/>
    <w:locked/>
    <w:uiPriority w:val="99"/>
    <w:rPr>
      <w:rFonts w:eastAsia="宋体"/>
      <w:sz w:val="21"/>
    </w:rPr>
  </w:style>
  <w:style w:type="character" w:customStyle="1" w:styleId="148">
    <w:name w:val="文档结构图 字符"/>
    <w:link w:val="23"/>
    <w:semiHidden/>
    <w:qFormat/>
    <w:locked/>
    <w:uiPriority w:val="99"/>
    <w:rPr>
      <w:sz w:val="2"/>
    </w:rPr>
  </w:style>
  <w:style w:type="character" w:customStyle="1" w:styleId="149">
    <w:name w:val="批注文字 字符"/>
    <w:link w:val="25"/>
    <w:qFormat/>
    <w:locked/>
    <w:uiPriority w:val="99"/>
    <w:rPr>
      <w:sz w:val="24"/>
    </w:rPr>
  </w:style>
  <w:style w:type="character" w:customStyle="1" w:styleId="150">
    <w:name w:val="称呼 字符"/>
    <w:link w:val="26"/>
    <w:semiHidden/>
    <w:qFormat/>
    <w:locked/>
    <w:uiPriority w:val="99"/>
    <w:rPr>
      <w:rFonts w:cs="Times New Roman"/>
      <w:sz w:val="24"/>
    </w:rPr>
  </w:style>
  <w:style w:type="character" w:customStyle="1" w:styleId="151">
    <w:name w:val="正文文本 3 字符"/>
    <w:link w:val="27"/>
    <w:semiHidden/>
    <w:qFormat/>
    <w:locked/>
    <w:uiPriority w:val="99"/>
    <w:rPr>
      <w:rFonts w:cs="Times New Roman"/>
      <w:sz w:val="16"/>
    </w:rPr>
  </w:style>
  <w:style w:type="character" w:customStyle="1" w:styleId="152">
    <w:name w:val="结束语 字符"/>
    <w:link w:val="28"/>
    <w:semiHidden/>
    <w:qFormat/>
    <w:locked/>
    <w:uiPriority w:val="99"/>
    <w:rPr>
      <w:rFonts w:cs="Times New Roman"/>
      <w:sz w:val="24"/>
    </w:rPr>
  </w:style>
  <w:style w:type="character" w:customStyle="1" w:styleId="153">
    <w:name w:val="正文文本 字符"/>
    <w:link w:val="30"/>
    <w:qFormat/>
    <w:locked/>
    <w:uiPriority w:val="99"/>
    <w:rPr>
      <w:sz w:val="24"/>
    </w:rPr>
  </w:style>
  <w:style w:type="character" w:customStyle="1" w:styleId="154">
    <w:name w:val="正文文本缩进 字符"/>
    <w:link w:val="31"/>
    <w:semiHidden/>
    <w:qFormat/>
    <w:locked/>
    <w:uiPriority w:val="99"/>
    <w:rPr>
      <w:rFonts w:cs="Times New Roman"/>
      <w:sz w:val="24"/>
    </w:rPr>
  </w:style>
  <w:style w:type="character" w:customStyle="1" w:styleId="155">
    <w:name w:val="HTML 地址 字符"/>
    <w:link w:val="37"/>
    <w:semiHidden/>
    <w:qFormat/>
    <w:locked/>
    <w:uiPriority w:val="99"/>
    <w:rPr>
      <w:rFonts w:cs="Times New Roman"/>
      <w:i/>
      <w:sz w:val="24"/>
    </w:rPr>
  </w:style>
  <w:style w:type="character" w:customStyle="1" w:styleId="156">
    <w:name w:val="纯文本 字符"/>
    <w:link w:val="41"/>
    <w:semiHidden/>
    <w:qFormat/>
    <w:locked/>
    <w:uiPriority w:val="99"/>
    <w:rPr>
      <w:rFonts w:ascii="宋体" w:hAnsi="Courier New" w:cs="Times New Roman"/>
      <w:sz w:val="21"/>
    </w:rPr>
  </w:style>
  <w:style w:type="character" w:customStyle="1" w:styleId="157">
    <w:name w:val="日期 字符"/>
    <w:link w:val="45"/>
    <w:semiHidden/>
    <w:qFormat/>
    <w:locked/>
    <w:uiPriority w:val="99"/>
    <w:rPr>
      <w:rFonts w:cs="Times New Roman"/>
      <w:sz w:val="24"/>
    </w:rPr>
  </w:style>
  <w:style w:type="character" w:customStyle="1" w:styleId="158">
    <w:name w:val="正文文本缩进 2 字符"/>
    <w:link w:val="46"/>
    <w:semiHidden/>
    <w:qFormat/>
    <w:locked/>
    <w:uiPriority w:val="99"/>
    <w:rPr>
      <w:rFonts w:cs="Times New Roman"/>
      <w:sz w:val="24"/>
    </w:rPr>
  </w:style>
  <w:style w:type="character" w:customStyle="1" w:styleId="159">
    <w:name w:val="批注框文本 字符"/>
    <w:link w:val="48"/>
    <w:qFormat/>
    <w:uiPriority w:val="99"/>
    <w:rPr>
      <w:rFonts w:ascii="Times New Roman" w:hAnsi="Times New Roman"/>
      <w:kern w:val="2"/>
      <w:sz w:val="18"/>
      <w:szCs w:val="18"/>
    </w:rPr>
  </w:style>
  <w:style w:type="character" w:customStyle="1" w:styleId="160">
    <w:name w:val="页脚 字符"/>
    <w:link w:val="49"/>
    <w:semiHidden/>
    <w:qFormat/>
    <w:locked/>
    <w:uiPriority w:val="99"/>
    <w:rPr>
      <w:sz w:val="18"/>
    </w:rPr>
  </w:style>
  <w:style w:type="character" w:customStyle="1" w:styleId="161">
    <w:name w:val="页眉 字符"/>
    <w:link w:val="51"/>
    <w:semiHidden/>
    <w:qFormat/>
    <w:locked/>
    <w:uiPriority w:val="99"/>
    <w:rPr>
      <w:sz w:val="18"/>
    </w:rPr>
  </w:style>
  <w:style w:type="character" w:customStyle="1" w:styleId="162">
    <w:name w:val="签名 字符"/>
    <w:link w:val="52"/>
    <w:semiHidden/>
    <w:qFormat/>
    <w:locked/>
    <w:uiPriority w:val="99"/>
    <w:rPr>
      <w:rFonts w:cs="Times New Roman"/>
      <w:sz w:val="24"/>
    </w:rPr>
  </w:style>
  <w:style w:type="character" w:customStyle="1" w:styleId="163">
    <w:name w:val="副标题 字符"/>
    <w:link w:val="56"/>
    <w:qFormat/>
    <w:locked/>
    <w:uiPriority w:val="99"/>
    <w:rPr>
      <w:rFonts w:ascii="Cambria" w:hAnsi="Cambria" w:cs="Times New Roman"/>
      <w:b/>
      <w:kern w:val="28"/>
      <w:sz w:val="32"/>
    </w:rPr>
  </w:style>
  <w:style w:type="character" w:customStyle="1" w:styleId="164">
    <w:name w:val="正文文本缩进 3 字符"/>
    <w:link w:val="61"/>
    <w:semiHidden/>
    <w:qFormat/>
    <w:locked/>
    <w:uiPriority w:val="99"/>
    <w:rPr>
      <w:rFonts w:cs="Times New Roman"/>
      <w:sz w:val="16"/>
    </w:rPr>
  </w:style>
  <w:style w:type="character" w:customStyle="1" w:styleId="165">
    <w:name w:val="正文文本 2 字符"/>
    <w:link w:val="64"/>
    <w:semiHidden/>
    <w:qFormat/>
    <w:locked/>
    <w:uiPriority w:val="99"/>
    <w:rPr>
      <w:rFonts w:cs="Times New Roman"/>
      <w:sz w:val="24"/>
    </w:rPr>
  </w:style>
  <w:style w:type="character" w:customStyle="1" w:styleId="166">
    <w:name w:val="信息标题 字符"/>
    <w:link w:val="67"/>
    <w:semiHidden/>
    <w:qFormat/>
    <w:locked/>
    <w:uiPriority w:val="99"/>
    <w:rPr>
      <w:rFonts w:ascii="Cambria" w:hAnsi="Cambria" w:eastAsia="宋体" w:cs="Times New Roman"/>
      <w:sz w:val="24"/>
      <w:shd w:val="pct20" w:color="auto" w:fill="auto"/>
    </w:rPr>
  </w:style>
  <w:style w:type="character" w:customStyle="1" w:styleId="167">
    <w:name w:val="HTML 预设格式 字符"/>
    <w:link w:val="68"/>
    <w:semiHidden/>
    <w:qFormat/>
    <w:locked/>
    <w:uiPriority w:val="99"/>
    <w:rPr>
      <w:rFonts w:ascii="Courier New" w:hAnsi="Courier New" w:cs="Times New Roman"/>
      <w:sz w:val="20"/>
    </w:rPr>
  </w:style>
  <w:style w:type="character" w:customStyle="1" w:styleId="168">
    <w:name w:val="标题 字符"/>
    <w:link w:val="71"/>
    <w:qFormat/>
    <w:locked/>
    <w:uiPriority w:val="99"/>
    <w:rPr>
      <w:rFonts w:ascii="Cambria" w:hAnsi="Cambria" w:cs="Times New Roman"/>
      <w:b/>
      <w:sz w:val="32"/>
    </w:rPr>
  </w:style>
  <w:style w:type="character" w:customStyle="1" w:styleId="169">
    <w:name w:val="批注主题 字符"/>
    <w:link w:val="72"/>
    <w:semiHidden/>
    <w:qFormat/>
    <w:locked/>
    <w:uiPriority w:val="99"/>
    <w:rPr>
      <w:rFonts w:ascii="Calibri" w:hAnsi="Calibri" w:eastAsia="宋体" w:cs="Times New Roman"/>
      <w:b/>
      <w:sz w:val="24"/>
      <w:lang w:val="en-US" w:eastAsia="en-US"/>
    </w:rPr>
  </w:style>
  <w:style w:type="character" w:customStyle="1" w:styleId="170">
    <w:name w:val="正文文本首行缩进 字符"/>
    <w:link w:val="73"/>
    <w:semiHidden/>
    <w:qFormat/>
    <w:locked/>
    <w:uiPriority w:val="99"/>
    <w:rPr>
      <w:rFonts w:eastAsia="宋体"/>
      <w:sz w:val="24"/>
    </w:rPr>
  </w:style>
  <w:style w:type="character" w:customStyle="1" w:styleId="171">
    <w:name w:val="正文文本首行缩进 2 字符"/>
    <w:link w:val="74"/>
    <w:semiHidden/>
    <w:qFormat/>
    <w:locked/>
    <w:uiPriority w:val="99"/>
    <w:rPr>
      <w:rFonts w:cs="Times New Roman"/>
      <w:sz w:val="24"/>
      <w:szCs w:val="24"/>
    </w:rPr>
  </w:style>
  <w:style w:type="paragraph" w:customStyle="1" w:styleId="172">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73">
    <w:name w:val="font21"/>
    <w:qFormat/>
    <w:uiPriority w:val="99"/>
    <w:rPr>
      <w:rFonts w:ascii="Times New Roman" w:hAnsi="Times New Roman"/>
      <w:color w:val="000000"/>
      <w:sz w:val="21"/>
      <w:u w:val="none"/>
    </w:rPr>
  </w:style>
  <w:style w:type="character" w:customStyle="1" w:styleId="174">
    <w:name w:val="List Paragraph Char"/>
    <w:link w:val="175"/>
    <w:qFormat/>
    <w:locked/>
    <w:uiPriority w:val="99"/>
    <w:rPr>
      <w:rFonts w:eastAsia="宋体"/>
      <w:color w:val="262626"/>
    </w:rPr>
  </w:style>
  <w:style w:type="paragraph" w:customStyle="1" w:styleId="175">
    <w:name w:val="列出段落1"/>
    <w:basedOn w:val="1"/>
    <w:link w:val="174"/>
    <w:qFormat/>
    <w:uiPriority w:val="99"/>
    <w:pPr>
      <w:spacing w:line="360" w:lineRule="auto"/>
      <w:ind w:firstLine="480" w:firstLineChars="200"/>
    </w:pPr>
    <w:rPr>
      <w:color w:val="262626"/>
      <w:kern w:val="0"/>
      <w:sz w:val="20"/>
      <w:szCs w:val="20"/>
    </w:rPr>
  </w:style>
  <w:style w:type="character" w:customStyle="1" w:styleId="176">
    <w:name w:val="Body Text First Indent Char"/>
    <w:qFormat/>
    <w:locked/>
    <w:uiPriority w:val="99"/>
    <w:rPr>
      <w:rFonts w:ascii="宋体" w:hAnsi="宋体" w:eastAsia="宋体" w:cs="Times New Roman"/>
      <w:spacing w:val="20"/>
      <w:sz w:val="24"/>
    </w:rPr>
  </w:style>
  <w:style w:type="character" w:customStyle="1" w:styleId="177">
    <w:name w:val="标题 1 Char"/>
    <w:qFormat/>
    <w:uiPriority w:val="99"/>
    <w:rPr>
      <w:rFonts w:eastAsia="宋体"/>
      <w:b/>
      <w:kern w:val="44"/>
      <w:sz w:val="44"/>
      <w:lang w:val="en-US" w:eastAsia="zh-CN"/>
    </w:rPr>
  </w:style>
  <w:style w:type="character" w:customStyle="1" w:styleId="178">
    <w:name w:val="bds_more"/>
    <w:qFormat/>
    <w:uiPriority w:val="99"/>
    <w:rPr>
      <w:rFonts w:ascii="Arial" w:hAnsi="Arial"/>
    </w:rPr>
  </w:style>
  <w:style w:type="character" w:customStyle="1" w:styleId="179">
    <w:name w:val="Footer Char"/>
    <w:semiHidden/>
    <w:qFormat/>
    <w:locked/>
    <w:uiPriority w:val="99"/>
    <w:rPr>
      <w:rFonts w:eastAsia="宋体" w:cs="Times New Roman"/>
      <w:sz w:val="18"/>
    </w:rPr>
  </w:style>
  <w:style w:type="character" w:customStyle="1" w:styleId="180">
    <w:name w:val="green"/>
    <w:qFormat/>
    <w:uiPriority w:val="0"/>
    <w:rPr>
      <w:shd w:val="clear" w:color="auto" w:fill="71C033"/>
    </w:rPr>
  </w:style>
  <w:style w:type="character" w:customStyle="1" w:styleId="181">
    <w:name w:val="Comment Text Char"/>
    <w:qFormat/>
    <w:locked/>
    <w:uiPriority w:val="99"/>
    <w:rPr>
      <w:rFonts w:ascii="Calibri" w:hAnsi="Calibri" w:eastAsia="宋体" w:cs="Times New Roman"/>
      <w:sz w:val="22"/>
      <w:lang w:val="en-US" w:eastAsia="en-US"/>
    </w:rPr>
  </w:style>
  <w:style w:type="character" w:customStyle="1" w:styleId="182">
    <w:name w:val="正文（缩进） Char"/>
    <w:link w:val="183"/>
    <w:qFormat/>
    <w:locked/>
    <w:uiPriority w:val="99"/>
    <w:rPr>
      <w:rFonts w:eastAsia="宋体"/>
      <w:sz w:val="24"/>
    </w:rPr>
  </w:style>
  <w:style w:type="paragraph" w:customStyle="1" w:styleId="183">
    <w:name w:val="正文（缩进）"/>
    <w:basedOn w:val="1"/>
    <w:link w:val="182"/>
    <w:semiHidden/>
    <w:qFormat/>
    <w:uiPriority w:val="99"/>
    <w:pPr>
      <w:spacing w:beforeLines="50" w:afterLines="50" w:line="360" w:lineRule="auto"/>
      <w:ind w:firstLine="480" w:firstLineChars="200"/>
    </w:pPr>
    <w:rPr>
      <w:kern w:val="0"/>
      <w:sz w:val="24"/>
      <w:szCs w:val="20"/>
    </w:rPr>
  </w:style>
  <w:style w:type="character" w:customStyle="1" w:styleId="184">
    <w:name w:val="font01"/>
    <w:qFormat/>
    <w:uiPriority w:val="99"/>
    <w:rPr>
      <w:rFonts w:ascii="宋体" w:hAnsi="宋体" w:eastAsia="宋体"/>
      <w:color w:val="000000"/>
      <w:sz w:val="21"/>
      <w:u w:val="none"/>
    </w:rPr>
  </w:style>
  <w:style w:type="character" w:customStyle="1" w:styleId="185">
    <w:name w:val="访问过的超链接1"/>
    <w:semiHidden/>
    <w:qFormat/>
    <w:uiPriority w:val="99"/>
    <w:rPr>
      <w:color w:val="1F4F88"/>
      <w:u w:val="none"/>
    </w:rPr>
  </w:style>
  <w:style w:type="character" w:customStyle="1" w:styleId="186">
    <w:name w:val="param-name1"/>
    <w:qFormat/>
    <w:uiPriority w:val="99"/>
    <w:rPr>
      <w:b/>
    </w:rPr>
  </w:style>
  <w:style w:type="character" w:customStyle="1" w:styleId="187">
    <w:name w:val="disabled"/>
    <w:qFormat/>
    <w:uiPriority w:val="0"/>
    <w:rPr>
      <w:color w:val="DDDDDD"/>
      <w:bdr w:val="single" w:color="EEEEEE" w:sz="6" w:space="0"/>
    </w:rPr>
  </w:style>
  <w:style w:type="character" w:customStyle="1" w:styleId="188">
    <w:name w:val="gjfg"/>
    <w:qFormat/>
    <w:uiPriority w:val="0"/>
  </w:style>
  <w:style w:type="character" w:customStyle="1" w:styleId="189">
    <w:name w:val="段 Char"/>
    <w:link w:val="190"/>
    <w:qFormat/>
    <w:locked/>
    <w:uiPriority w:val="99"/>
    <w:rPr>
      <w:rFonts w:ascii="宋体"/>
      <w:sz w:val="21"/>
      <w:lang w:val="en-US" w:eastAsia="zh-CN" w:bidi="ar-SA"/>
    </w:rPr>
  </w:style>
  <w:style w:type="paragraph" w:customStyle="1" w:styleId="190">
    <w:name w:val="段"/>
    <w:link w:val="189"/>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91">
    <w:name w:val="qxdate"/>
    <w:qFormat/>
    <w:uiPriority w:val="0"/>
    <w:rPr>
      <w:color w:val="333333"/>
      <w:sz w:val="18"/>
      <w:szCs w:val="18"/>
    </w:rPr>
  </w:style>
  <w:style w:type="character" w:customStyle="1" w:styleId="192">
    <w:name w:val="apple-converted-space"/>
    <w:qFormat/>
    <w:uiPriority w:val="99"/>
  </w:style>
  <w:style w:type="character" w:customStyle="1" w:styleId="193">
    <w:name w:val="cfdate"/>
    <w:qFormat/>
    <w:uiPriority w:val="0"/>
    <w:rPr>
      <w:color w:val="333333"/>
      <w:sz w:val="18"/>
      <w:szCs w:val="18"/>
    </w:rPr>
  </w:style>
  <w:style w:type="character" w:customStyle="1" w:styleId="194">
    <w:name w:val="blue"/>
    <w:qFormat/>
    <w:uiPriority w:val="0"/>
    <w:rPr>
      <w:shd w:val="clear" w:color="auto" w:fill="53A7FF"/>
    </w:rPr>
  </w:style>
  <w:style w:type="character" w:customStyle="1" w:styleId="195">
    <w:name w:val="displayarti"/>
    <w:qFormat/>
    <w:uiPriority w:val="0"/>
    <w:rPr>
      <w:color w:val="FFFFFF"/>
      <w:shd w:val="clear" w:color="auto" w:fill="A00000"/>
    </w:rPr>
  </w:style>
  <w:style w:type="character" w:customStyle="1" w:styleId="196">
    <w:name w:val="hei14"/>
    <w:semiHidden/>
    <w:qFormat/>
    <w:uiPriority w:val="99"/>
  </w:style>
  <w:style w:type="character" w:customStyle="1" w:styleId="197">
    <w:name w:val="Body Text Char"/>
    <w:qFormat/>
    <w:locked/>
    <w:uiPriority w:val="99"/>
    <w:rPr>
      <w:rFonts w:eastAsia="宋体" w:cs="Times New Roman"/>
      <w:sz w:val="21"/>
    </w:rPr>
  </w:style>
  <w:style w:type="character" w:customStyle="1" w:styleId="198">
    <w:name w:val="hover44"/>
    <w:qFormat/>
    <w:uiPriority w:val="99"/>
    <w:rPr>
      <w:rFonts w:ascii="微软雅黑" w:hAnsi="微软雅黑" w:eastAsia="微软雅黑"/>
      <w:b/>
      <w:color w:val="FF6600"/>
      <w:sz w:val="22"/>
      <w:u w:val="single"/>
    </w:rPr>
  </w:style>
  <w:style w:type="character" w:customStyle="1" w:styleId="199">
    <w:name w:val="hover38"/>
    <w:qFormat/>
    <w:uiPriority w:val="99"/>
    <w:rPr>
      <w:color w:val="FF6600"/>
      <w:u w:val="single"/>
    </w:rPr>
  </w:style>
  <w:style w:type="character" w:customStyle="1" w:styleId="200">
    <w:name w:val="prev2"/>
    <w:qFormat/>
    <w:uiPriority w:val="0"/>
    <w:rPr>
      <w:rFonts w:ascii="微软雅黑" w:hAnsi="微软雅黑" w:eastAsia="微软雅黑" w:cs="微软雅黑"/>
      <w:sz w:val="21"/>
      <w:szCs w:val="21"/>
    </w:rPr>
  </w:style>
  <w:style w:type="character" w:customStyle="1" w:styleId="201">
    <w:name w:val="yellow"/>
    <w:qFormat/>
    <w:uiPriority w:val="0"/>
    <w:rPr>
      <w:shd w:val="clear" w:color="auto" w:fill="F58F00"/>
    </w:rPr>
  </w:style>
  <w:style w:type="character" w:customStyle="1" w:styleId="202">
    <w:name w:val="next3"/>
    <w:qFormat/>
    <w:uiPriority w:val="0"/>
    <w:rPr>
      <w:color w:val="888888"/>
    </w:rPr>
  </w:style>
  <w:style w:type="character" w:customStyle="1" w:styleId="203">
    <w:name w:val="blue2"/>
    <w:qFormat/>
    <w:uiPriority w:val="0"/>
    <w:rPr>
      <w:shd w:val="clear" w:color="auto" w:fill="53A7FF"/>
    </w:rPr>
  </w:style>
  <w:style w:type="character" w:customStyle="1" w:styleId="204">
    <w:name w:val="明显引用 Char"/>
    <w:link w:val="205"/>
    <w:qFormat/>
    <w:locked/>
    <w:uiPriority w:val="99"/>
    <w:rPr>
      <w:b/>
      <w:i/>
      <w:sz w:val="24"/>
    </w:rPr>
  </w:style>
  <w:style w:type="paragraph" w:customStyle="1" w:styleId="205">
    <w:name w:val="明显引用1"/>
    <w:basedOn w:val="1"/>
    <w:next w:val="1"/>
    <w:link w:val="204"/>
    <w:qFormat/>
    <w:uiPriority w:val="99"/>
    <w:pPr>
      <w:widowControl/>
      <w:ind w:left="720" w:right="720"/>
      <w:jc w:val="left"/>
    </w:pPr>
    <w:rPr>
      <w:b/>
      <w:i/>
      <w:kern w:val="0"/>
      <w:sz w:val="24"/>
      <w:szCs w:val="20"/>
    </w:rPr>
  </w:style>
  <w:style w:type="character" w:customStyle="1" w:styleId="206">
    <w:name w:val="Header Char"/>
    <w:semiHidden/>
    <w:qFormat/>
    <w:locked/>
    <w:uiPriority w:val="99"/>
    <w:rPr>
      <w:rFonts w:eastAsia="宋体" w:cs="Times New Roman"/>
      <w:sz w:val="18"/>
    </w:rPr>
  </w:style>
  <w:style w:type="character" w:customStyle="1" w:styleId="207">
    <w:name w:val="redfilefwwh"/>
    <w:qFormat/>
    <w:uiPriority w:val="0"/>
    <w:rPr>
      <w:color w:val="BA2636"/>
      <w:sz w:val="18"/>
      <w:szCs w:val="18"/>
    </w:rPr>
  </w:style>
  <w:style w:type="character" w:customStyle="1" w:styleId="208">
    <w:name w:val="hover43"/>
    <w:qFormat/>
    <w:uiPriority w:val="99"/>
    <w:rPr>
      <w:color w:val="FF6600"/>
      <w:u w:val="single"/>
    </w:rPr>
  </w:style>
  <w:style w:type="character" w:customStyle="1" w:styleId="209">
    <w:name w:val="hover39"/>
    <w:qFormat/>
    <w:uiPriority w:val="99"/>
    <w:rPr>
      <w:color w:val="FFFFFF"/>
      <w:shd w:val="clear" w:color="auto" w:fill="FF6600"/>
    </w:rPr>
  </w:style>
  <w:style w:type="character" w:customStyle="1" w:styleId="210">
    <w:name w:val="Document Map Char"/>
    <w:semiHidden/>
    <w:qFormat/>
    <w:locked/>
    <w:uiPriority w:val="99"/>
    <w:rPr>
      <w:rFonts w:eastAsia="宋体" w:cs="Times New Roman"/>
      <w:sz w:val="21"/>
    </w:rPr>
  </w:style>
  <w:style w:type="character" w:customStyle="1" w:styleId="211">
    <w:name w:val="prev3"/>
    <w:qFormat/>
    <w:uiPriority w:val="0"/>
    <w:rPr>
      <w:color w:val="888888"/>
    </w:rPr>
  </w:style>
  <w:style w:type="character" w:customStyle="1" w:styleId="212">
    <w:name w:val="hover40"/>
    <w:qFormat/>
    <w:uiPriority w:val="99"/>
    <w:rPr>
      <w:color w:val="FF6600"/>
      <w:u w:val="single"/>
    </w:rPr>
  </w:style>
  <w:style w:type="character" w:customStyle="1" w:styleId="213">
    <w:name w:val="next2"/>
    <w:qFormat/>
    <w:uiPriority w:val="0"/>
    <w:rPr>
      <w:rFonts w:hint="eastAsia" w:ascii="微软雅黑" w:hAnsi="微软雅黑" w:eastAsia="微软雅黑" w:cs="微软雅黑"/>
      <w:sz w:val="21"/>
      <w:szCs w:val="21"/>
    </w:rPr>
  </w:style>
  <w:style w:type="character" w:customStyle="1" w:styleId="214">
    <w:name w:val="hover42"/>
    <w:qFormat/>
    <w:uiPriority w:val="99"/>
    <w:rPr>
      <w:color w:val="FFFFFF"/>
      <w:shd w:val="clear" w:color="auto" w:fill="FF6600"/>
    </w:rPr>
  </w:style>
  <w:style w:type="character" w:customStyle="1" w:styleId="215">
    <w:name w:val="Char Char3"/>
    <w:qFormat/>
    <w:uiPriority w:val="99"/>
    <w:rPr>
      <w:rFonts w:ascii="Calibri" w:hAnsi="Calibri" w:eastAsia="宋体"/>
      <w:sz w:val="22"/>
      <w:lang w:eastAsia="en-US"/>
    </w:rPr>
  </w:style>
  <w:style w:type="character" w:customStyle="1" w:styleId="216">
    <w:name w:val="redfilenumber"/>
    <w:qFormat/>
    <w:uiPriority w:val="0"/>
    <w:rPr>
      <w:color w:val="BA2636"/>
      <w:sz w:val="18"/>
      <w:szCs w:val="18"/>
    </w:rPr>
  </w:style>
  <w:style w:type="character" w:customStyle="1" w:styleId="217">
    <w:name w:val="red2"/>
    <w:qFormat/>
    <w:uiPriority w:val="0"/>
    <w:rPr>
      <w:shd w:val="clear" w:color="auto" w:fill="EA5954"/>
    </w:rPr>
  </w:style>
  <w:style w:type="character" w:customStyle="1" w:styleId="218">
    <w:name w:val="CharAttribute18"/>
    <w:qFormat/>
    <w:uiPriority w:val="0"/>
    <w:rPr>
      <w:rFonts w:ascii="宋体" w:hAnsi="宋体" w:eastAsia="宋体"/>
      <w:sz w:val="20"/>
      <w:u w:val="single"/>
    </w:rPr>
  </w:style>
  <w:style w:type="paragraph" w:customStyle="1" w:styleId="219">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20">
    <w:name w:val="xl4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21">
    <w:name w:val="默认段落字体 Para Char Char Char Char Char Char Char Char Char Char Char Char Char Char Char1 Char Char Char Char"/>
    <w:basedOn w:val="23"/>
    <w:qFormat/>
    <w:uiPriority w:val="99"/>
    <w:pPr>
      <w:adjustRightInd w:val="0"/>
      <w:spacing w:line="436" w:lineRule="exact"/>
      <w:ind w:left="357"/>
      <w:jc w:val="left"/>
      <w:outlineLvl w:val="3"/>
    </w:pPr>
    <w:rPr>
      <w:rFonts w:ascii="仿宋_GB2312" w:eastAsia="仿宋_GB2312"/>
      <w:sz w:val="24"/>
    </w:rPr>
  </w:style>
  <w:style w:type="paragraph" w:customStyle="1" w:styleId="222">
    <w:name w:val="列出段落11"/>
    <w:basedOn w:val="1"/>
    <w:semiHidden/>
    <w:qFormat/>
    <w:uiPriority w:val="99"/>
    <w:pPr>
      <w:ind w:firstLine="420" w:firstLineChars="200"/>
    </w:pPr>
    <w:rPr>
      <w:szCs w:val="20"/>
    </w:rPr>
  </w:style>
  <w:style w:type="paragraph" w:customStyle="1" w:styleId="223">
    <w:name w:val="xl38"/>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24">
    <w:name w:val="xl49"/>
    <w:basedOn w:val="1"/>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225">
    <w:name w:val="样式目录三"/>
    <w:basedOn w:val="40"/>
    <w:semiHidden/>
    <w:qFormat/>
    <w:uiPriority w:val="99"/>
    <w:pPr>
      <w:numPr>
        <w:ilvl w:val="5"/>
        <w:numId w:val="1"/>
      </w:numPr>
      <w:tabs>
        <w:tab w:val="left" w:pos="1320"/>
        <w:tab w:val="right" w:leader="dot" w:pos="8597"/>
      </w:tabs>
      <w:spacing w:line="360" w:lineRule="auto"/>
      <w:ind w:left="0" w:firstLine="0"/>
      <w:outlineLvl w:val="2"/>
    </w:pPr>
    <w:rPr>
      <w:i w:val="0"/>
      <w:sz w:val="24"/>
    </w:rPr>
  </w:style>
  <w:style w:type="paragraph" w:customStyle="1" w:styleId="226">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7">
    <w:name w:val="图表文字"/>
    <w:qFormat/>
    <w:uiPriority w:val="99"/>
    <w:rPr>
      <w:rFonts w:ascii="Times New Roman" w:hAnsi="Times New Roman" w:eastAsia="宋体" w:cs="Times New Roman"/>
      <w:sz w:val="21"/>
      <w:szCs w:val="21"/>
      <w:lang w:val="en-US" w:eastAsia="zh-CN" w:bidi="ar-SA"/>
    </w:rPr>
  </w:style>
  <w:style w:type="paragraph" w:customStyle="1" w:styleId="228">
    <w:name w:val="_Style 227"/>
    <w:unhideWhenUsed/>
    <w:qFormat/>
    <w:uiPriority w:val="99"/>
    <w:rPr>
      <w:rFonts w:ascii="Times New Roman" w:hAnsi="Times New Roman" w:eastAsia="宋体" w:cs="Times New Roman"/>
      <w:kern w:val="2"/>
      <w:sz w:val="21"/>
      <w:szCs w:val="24"/>
      <w:lang w:val="en-US" w:eastAsia="zh-CN" w:bidi="ar-SA"/>
    </w:rPr>
  </w:style>
  <w:style w:type="paragraph" w:customStyle="1" w:styleId="229">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230">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31">
    <w:name w:val="标题 3（绿盟科技）"/>
    <w:basedOn w:val="4"/>
    <w:next w:val="1"/>
    <w:semiHidden/>
    <w:qFormat/>
    <w:uiPriority w:val="99"/>
    <w:pPr>
      <w:tabs>
        <w:tab w:val="left" w:pos="960"/>
        <w:tab w:val="left" w:pos="1260"/>
      </w:tabs>
      <w:spacing w:line="415" w:lineRule="auto"/>
      <w:ind w:left="1260" w:firstLine="147" w:firstLineChars="147"/>
      <w:jc w:val="left"/>
    </w:pPr>
    <w:rPr>
      <w:rFonts w:ascii="Arial" w:hAnsi="Arial" w:eastAsia="黑体"/>
      <w:sz w:val="30"/>
      <w:szCs w:val="30"/>
    </w:rPr>
  </w:style>
  <w:style w:type="paragraph" w:customStyle="1" w:styleId="232">
    <w:name w:val="Char Char31"/>
    <w:basedOn w:val="1"/>
    <w:unhideWhenUsed/>
    <w:qFormat/>
    <w:uiPriority w:val="0"/>
    <w:pPr>
      <w:spacing w:line="360" w:lineRule="auto"/>
      <w:ind w:firstLine="200" w:firstLineChars="200"/>
    </w:pPr>
    <w:rPr>
      <w:rFonts w:hint="eastAsia" w:ascii="宋体" w:hAnsi="宋体"/>
      <w:sz w:val="24"/>
      <w:szCs w:val="20"/>
    </w:rPr>
  </w:style>
  <w:style w:type="paragraph" w:customStyle="1" w:styleId="233">
    <w:name w:val="xl30"/>
    <w:basedOn w:val="1"/>
    <w:qFormat/>
    <w:uiPriority w:val="99"/>
    <w:pPr>
      <w:widowControl/>
      <w:pBdr>
        <w:top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34">
    <w:name w:val="样式1"/>
    <w:basedOn w:val="5"/>
    <w:qFormat/>
    <w:uiPriority w:val="99"/>
    <w:pPr>
      <w:autoSpaceDE w:val="0"/>
      <w:autoSpaceDN w:val="0"/>
      <w:adjustRightInd w:val="0"/>
      <w:spacing w:line="500" w:lineRule="exact"/>
      <w:ind w:firstLine="490" w:firstLineChars="204"/>
      <w:jc w:val="left"/>
    </w:pPr>
    <w:rPr>
      <w:rFonts w:ascii="宋体" w:hAnsi="宋体"/>
      <w:sz w:val="24"/>
    </w:rPr>
  </w:style>
  <w:style w:type="paragraph" w:customStyle="1" w:styleId="235">
    <w:name w:val="标题 2（绿盟科技）"/>
    <w:basedOn w:val="3"/>
    <w:next w:val="1"/>
    <w:semiHidden/>
    <w:qFormat/>
    <w:uiPriority w:val="99"/>
    <w:pPr>
      <w:numPr>
        <w:ilvl w:val="1"/>
        <w:numId w:val="1"/>
      </w:numPr>
      <w:tabs>
        <w:tab w:val="left" w:pos="1440"/>
      </w:tabs>
      <w:spacing w:line="415" w:lineRule="auto"/>
      <w:jc w:val="left"/>
    </w:pPr>
  </w:style>
  <w:style w:type="paragraph" w:customStyle="1" w:styleId="236">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37">
    <w:name w:val="五级无标题条"/>
    <w:basedOn w:val="1"/>
    <w:qFormat/>
    <w:uiPriority w:val="99"/>
    <w:pPr>
      <w:tabs>
        <w:tab w:val="left" w:pos="840"/>
      </w:tabs>
      <w:ind w:left="840" w:hanging="630"/>
    </w:pPr>
    <w:rPr>
      <w:szCs w:val="20"/>
    </w:rPr>
  </w:style>
  <w:style w:type="paragraph" w:customStyle="1" w:styleId="238">
    <w:name w:val="注×："/>
    <w:semiHidden/>
    <w:qFormat/>
    <w:uiPriority w:val="99"/>
    <w:pPr>
      <w:widowControl w:val="0"/>
      <w:tabs>
        <w:tab w:val="left" w:pos="360"/>
        <w:tab w:val="left" w:pos="630"/>
      </w:tabs>
      <w:autoSpaceDE w:val="0"/>
      <w:autoSpaceDN w:val="0"/>
      <w:ind w:left="360" w:hanging="360"/>
      <w:jc w:val="both"/>
    </w:pPr>
    <w:rPr>
      <w:rFonts w:ascii="宋体" w:hAnsi="Times New Roman" w:eastAsia="宋体" w:cs="Times New Roman"/>
      <w:sz w:val="18"/>
      <w:lang w:val="en-US" w:eastAsia="zh-CN" w:bidi="ar-SA"/>
    </w:rPr>
  </w:style>
  <w:style w:type="paragraph" w:customStyle="1" w:styleId="239">
    <w:name w:val="xl3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40">
    <w:name w:val="标题 5（有编号）（绿盟科技）"/>
    <w:basedOn w:val="1"/>
    <w:next w:val="1"/>
    <w:semiHidden/>
    <w:qFormat/>
    <w:uiPriority w:val="99"/>
    <w:pPr>
      <w:keepNext/>
      <w:keepLines/>
      <w:tabs>
        <w:tab w:val="left" w:pos="840"/>
      </w:tabs>
      <w:spacing w:line="377" w:lineRule="auto"/>
      <w:ind w:left="1560" w:hanging="1134"/>
      <w:jc w:val="left"/>
      <w:outlineLvl w:val="4"/>
    </w:pPr>
    <w:rPr>
      <w:rFonts w:ascii="Arial" w:hAnsi="Arial" w:eastAsia="黑体"/>
      <w:b/>
      <w:kern w:val="0"/>
      <w:sz w:val="24"/>
      <w:szCs w:val="28"/>
    </w:rPr>
  </w:style>
  <w:style w:type="paragraph" w:customStyle="1" w:styleId="241">
    <w:name w:val="a2"/>
    <w:basedOn w:val="1"/>
    <w:qFormat/>
    <w:uiPriority w:val="99"/>
    <w:pPr>
      <w:widowControl/>
      <w:spacing w:before="100" w:beforeAutospacing="1" w:after="100" w:afterAutospacing="1"/>
      <w:jc w:val="left"/>
    </w:pPr>
    <w:rPr>
      <w:rFonts w:ascii="宋体" w:hAnsi="宋体" w:cs="宋体"/>
      <w:kern w:val="0"/>
      <w:sz w:val="24"/>
    </w:rPr>
  </w:style>
  <w:style w:type="paragraph" w:customStyle="1" w:styleId="242">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243">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4">
    <w:name w:val="Body text|1"/>
    <w:basedOn w:val="1"/>
    <w:qFormat/>
    <w:uiPriority w:val="0"/>
    <w:pPr>
      <w:spacing w:line="410" w:lineRule="auto"/>
      <w:ind w:firstLine="400"/>
    </w:pPr>
    <w:rPr>
      <w:rFonts w:ascii="宋体" w:hAnsi="宋体" w:eastAsia="宋体" w:cs="宋体"/>
      <w:sz w:val="30"/>
      <w:szCs w:val="30"/>
      <w:lang w:val="zh-TW" w:eastAsia="zh-TW" w:bidi="zh-TW"/>
    </w:rPr>
  </w:style>
  <w:style w:type="paragraph" w:customStyle="1" w:styleId="245">
    <w:name w:val="简单回函地址"/>
    <w:basedOn w:val="1"/>
    <w:qFormat/>
    <w:uiPriority w:val="99"/>
  </w:style>
  <w:style w:type="paragraph" w:customStyle="1" w:styleId="246">
    <w:name w:val="Char Char Char Char"/>
    <w:basedOn w:val="1"/>
    <w:qFormat/>
    <w:uiPriority w:val="99"/>
    <w:rPr>
      <w:rFonts w:ascii="Tahoma" w:hAnsi="Tahoma"/>
      <w:sz w:val="24"/>
      <w:szCs w:val="20"/>
    </w:rPr>
  </w:style>
  <w:style w:type="paragraph" w:customStyle="1" w:styleId="247">
    <w:name w:val="标题 4（绿盟科技）"/>
    <w:basedOn w:val="5"/>
    <w:next w:val="1"/>
    <w:semiHidden/>
    <w:qFormat/>
    <w:uiPriority w:val="99"/>
    <w:pPr>
      <w:widowControl/>
      <w:tabs>
        <w:tab w:val="left" w:pos="360"/>
      </w:tabs>
      <w:ind w:left="1447" w:hanging="1021"/>
      <w:jc w:val="left"/>
    </w:pPr>
  </w:style>
  <w:style w:type="paragraph" w:customStyle="1" w:styleId="248">
    <w:name w:val="表题"/>
    <w:basedOn w:val="41"/>
    <w:qFormat/>
    <w:uiPriority w:val="99"/>
    <w:pPr>
      <w:adjustRightInd w:val="0"/>
      <w:spacing w:line="480" w:lineRule="auto"/>
      <w:jc w:val="center"/>
    </w:pPr>
    <w:rPr>
      <w:rFonts w:ascii="Times New Roman" w:hAnsi="Times New Roman" w:eastAsia="黑体"/>
      <w:sz w:val="18"/>
    </w:rPr>
  </w:style>
  <w:style w:type="paragraph" w:customStyle="1" w:styleId="249">
    <w:name w:val="List Paragraph1"/>
    <w:basedOn w:val="1"/>
    <w:qFormat/>
    <w:uiPriority w:val="99"/>
    <w:pPr>
      <w:ind w:firstLine="420" w:firstLineChars="200"/>
    </w:pPr>
  </w:style>
  <w:style w:type="paragraph" w:customStyle="1" w:styleId="250">
    <w:name w:val="xl2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51">
    <w:name w:val="样式2"/>
    <w:basedOn w:val="6"/>
    <w:qFormat/>
    <w:uiPriority w:val="99"/>
    <w:pPr>
      <w:autoSpaceDE w:val="0"/>
      <w:autoSpaceDN w:val="0"/>
      <w:adjustRightInd w:val="0"/>
      <w:spacing w:before="240" w:after="240" w:line="500" w:lineRule="exact"/>
      <w:ind w:firstLine="204" w:firstLineChars="204"/>
      <w:jc w:val="left"/>
    </w:pPr>
    <w:rPr>
      <w:rFonts w:ascii="宋体" w:hAnsi="宋体"/>
      <w:sz w:val="24"/>
    </w:rPr>
  </w:style>
  <w:style w:type="paragraph" w:customStyle="1" w:styleId="252">
    <w:name w:val="font0"/>
    <w:basedOn w:val="1"/>
    <w:qFormat/>
    <w:uiPriority w:val="99"/>
    <w:pPr>
      <w:widowControl/>
      <w:spacing w:before="100" w:beforeAutospacing="1" w:after="100" w:afterAutospacing="1"/>
      <w:jc w:val="left"/>
    </w:pPr>
    <w:rPr>
      <w:rFonts w:ascii="宋体" w:hAnsi="宋体" w:cs="宋体"/>
      <w:kern w:val="0"/>
      <w:sz w:val="24"/>
    </w:rPr>
  </w:style>
  <w:style w:type="paragraph" w:customStyle="1" w:styleId="253">
    <w:name w:val="Char Char1 Char Char Char Char1"/>
    <w:basedOn w:val="1"/>
    <w:qFormat/>
    <w:uiPriority w:val="99"/>
    <w:pPr>
      <w:keepNext/>
      <w:keepLines/>
      <w:adjustRightInd w:val="0"/>
      <w:spacing w:beforeLines="100" w:afterLines="100" w:line="300" w:lineRule="auto"/>
      <w:ind w:firstLine="200" w:firstLineChars="200"/>
    </w:pPr>
    <w:rPr>
      <w:rFonts w:ascii="仿宋_GB2312" w:hAnsi="宋体" w:eastAsia="仿宋_GB2312"/>
      <w:kern w:val="0"/>
      <w:sz w:val="24"/>
      <w:szCs w:val="20"/>
    </w:rPr>
  </w:style>
  <w:style w:type="paragraph" w:customStyle="1" w:styleId="254">
    <w:name w:val="xl72"/>
    <w:basedOn w:val="1"/>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255">
    <w:name w:val="列出段落2"/>
    <w:basedOn w:val="1"/>
    <w:qFormat/>
    <w:uiPriority w:val="99"/>
    <w:pPr>
      <w:ind w:firstLine="420" w:firstLineChars="200"/>
    </w:pPr>
  </w:style>
  <w:style w:type="paragraph" w:customStyle="1" w:styleId="256">
    <w:name w:val="xl37"/>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57">
    <w:name w:val="111111"/>
    <w:basedOn w:val="71"/>
    <w:qFormat/>
    <w:uiPriority w:val="99"/>
    <w:pPr>
      <w:jc w:val="both"/>
    </w:pPr>
  </w:style>
  <w:style w:type="paragraph" w:customStyle="1" w:styleId="258">
    <w:name w:val="标题 1（绿盟科技）"/>
    <w:basedOn w:val="2"/>
    <w:next w:val="1"/>
    <w:semiHidden/>
    <w:qFormat/>
    <w:uiPriority w:val="99"/>
    <w:pPr>
      <w:pBdr>
        <w:bottom w:val="single" w:color="auto" w:sz="48" w:space="1"/>
      </w:pBdr>
      <w:tabs>
        <w:tab w:val="left" w:pos="360"/>
      </w:tabs>
      <w:spacing w:line="576" w:lineRule="auto"/>
      <w:ind w:left="360" w:hanging="360"/>
      <w:jc w:val="left"/>
    </w:pPr>
    <w:rPr>
      <w:rFonts w:ascii="Arial" w:hAnsi="Arial" w:eastAsia="黑体"/>
    </w:rPr>
  </w:style>
  <w:style w:type="paragraph" w:customStyle="1" w:styleId="259">
    <w:name w:val="xl34"/>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60">
    <w:name w:val="xl40"/>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61">
    <w:name w:val="Char"/>
    <w:basedOn w:val="1"/>
    <w:qFormat/>
    <w:uiPriority w:val="99"/>
    <w:pPr>
      <w:tabs>
        <w:tab w:val="left" w:pos="708"/>
      </w:tabs>
      <w:ind w:firstLine="420"/>
    </w:pPr>
    <w:rPr>
      <w:rFonts w:ascii="仿宋_GB2312" w:eastAsia="仿宋_GB2312"/>
      <w:sz w:val="24"/>
    </w:rPr>
  </w:style>
  <w:style w:type="paragraph" w:customStyle="1" w:styleId="262">
    <w:name w:val="xl42"/>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63">
    <w:name w:val="xl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64">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65">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266">
    <w:name w:val="样式4"/>
    <w:basedOn w:val="251"/>
    <w:qFormat/>
    <w:uiPriority w:val="99"/>
    <w:pPr>
      <w:keepNext w:val="0"/>
      <w:keepLines w:val="0"/>
      <w:tabs>
        <w:tab w:val="left" w:pos="360"/>
      </w:tabs>
      <w:autoSpaceDE/>
      <w:autoSpaceDN/>
      <w:adjustRightInd/>
      <w:spacing w:before="0" w:after="200" w:line="276" w:lineRule="auto"/>
      <w:ind w:left="360" w:firstLine="0" w:firstLineChars="0"/>
      <w:jc w:val="both"/>
      <w:outlineLvl w:val="9"/>
    </w:pPr>
    <w:rPr>
      <w:rFonts w:ascii="Calibri" w:hAnsi="Calibri"/>
      <w:szCs w:val="24"/>
    </w:rPr>
  </w:style>
  <w:style w:type="paragraph" w:customStyle="1" w:styleId="267">
    <w:name w:val="xl45"/>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268">
    <w:name w:val="xl74"/>
    <w:basedOn w:val="1"/>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269">
    <w:name w:val="p0"/>
    <w:basedOn w:val="1"/>
    <w:semiHidden/>
    <w:qFormat/>
    <w:uiPriority w:val="99"/>
    <w:pPr>
      <w:widowControl/>
      <w:spacing w:after="200" w:line="273" w:lineRule="auto"/>
      <w:jc w:val="left"/>
    </w:pPr>
    <w:rPr>
      <w:rFonts w:ascii="Calibri" w:hAnsi="Calibri" w:cs="宋体"/>
      <w:kern w:val="0"/>
      <w:sz w:val="22"/>
      <w:szCs w:val="22"/>
    </w:rPr>
  </w:style>
  <w:style w:type="paragraph" w:customStyle="1" w:styleId="270">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styleId="271">
    <w:name w:val="List Paragraph"/>
    <w:basedOn w:val="1"/>
    <w:qFormat/>
    <w:uiPriority w:val="34"/>
    <w:pPr>
      <w:ind w:firstLine="420" w:firstLineChars="200"/>
    </w:pPr>
  </w:style>
  <w:style w:type="paragraph" w:customStyle="1" w:styleId="272">
    <w:name w:val="xl47"/>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73">
    <w:name w:val="PP 行"/>
    <w:basedOn w:val="52"/>
    <w:qFormat/>
    <w:uiPriority w:val="99"/>
  </w:style>
  <w:style w:type="paragraph" w:customStyle="1" w:styleId="274">
    <w:name w:val="正文2"/>
    <w:basedOn w:val="1"/>
    <w:semiHidden/>
    <w:qFormat/>
    <w:uiPriority w:val="99"/>
    <w:pPr>
      <w:spacing w:before="156" w:line="360" w:lineRule="auto"/>
      <w:ind w:firstLine="510" w:firstLineChars="200"/>
    </w:pPr>
    <w:rPr>
      <w:sz w:val="24"/>
      <w:szCs w:val="20"/>
    </w:rPr>
  </w:style>
  <w:style w:type="paragraph" w:customStyle="1" w:styleId="275">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276">
    <w:name w:val="xl29"/>
    <w:basedOn w:val="1"/>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77">
    <w:name w:val="xl39"/>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78">
    <w:name w:val="xl78"/>
    <w:basedOn w:val="1"/>
    <w:qFormat/>
    <w:uiPriority w:val="99"/>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center"/>
      <w:textAlignment w:val="center"/>
    </w:pPr>
    <w:rPr>
      <w:rFonts w:ascii="黑体" w:hAnsi="宋体" w:eastAsia="黑体" w:cs="宋体"/>
      <w:b/>
      <w:bCs/>
      <w:kern w:val="0"/>
      <w:sz w:val="28"/>
      <w:szCs w:val="28"/>
    </w:rPr>
  </w:style>
  <w:style w:type="paragraph" w:customStyle="1" w:styleId="279">
    <w:name w:val="标题 6（有编号）（绿盟科技）"/>
    <w:basedOn w:val="1"/>
    <w:next w:val="1"/>
    <w:semiHidden/>
    <w:qFormat/>
    <w:uiPriority w:val="99"/>
    <w:pPr>
      <w:keepNext/>
      <w:keepLines/>
      <w:numPr>
        <w:ilvl w:val="2"/>
        <w:numId w:val="1"/>
      </w:numPr>
      <w:spacing w:line="319" w:lineRule="auto"/>
      <w:ind w:left="1673" w:hanging="1247"/>
      <w:jc w:val="left"/>
      <w:outlineLvl w:val="5"/>
    </w:pPr>
    <w:rPr>
      <w:rFonts w:ascii="Arial" w:hAnsi="Arial" w:eastAsia="黑体"/>
      <w:b/>
      <w:kern w:val="0"/>
    </w:rPr>
  </w:style>
  <w:style w:type="paragraph" w:customStyle="1" w:styleId="280">
    <w:name w:val="xl27"/>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81">
    <w:name w:val="Char Char Char"/>
    <w:basedOn w:val="1"/>
    <w:qFormat/>
    <w:uiPriority w:val="99"/>
    <w:rPr>
      <w:rFonts w:ascii="宋体" w:hAnsi="宋体"/>
      <w:b/>
      <w:sz w:val="28"/>
      <w:szCs w:val="28"/>
    </w:rPr>
  </w:style>
  <w:style w:type="paragraph" w:customStyle="1" w:styleId="282">
    <w:name w:val="t4_2"/>
    <w:basedOn w:val="1"/>
    <w:qFormat/>
    <w:uiPriority w:val="99"/>
    <w:pPr>
      <w:widowControl/>
      <w:tabs>
        <w:tab w:val="left" w:pos="360"/>
      </w:tabs>
      <w:spacing w:line="360" w:lineRule="auto"/>
      <w:ind w:left="420"/>
      <w:jc w:val="left"/>
    </w:pPr>
    <w:rPr>
      <w:b/>
    </w:rPr>
  </w:style>
  <w:style w:type="paragraph" w:customStyle="1" w:styleId="283">
    <w:name w:val="xl73"/>
    <w:basedOn w:val="1"/>
    <w:qFormat/>
    <w:uiPriority w:val="99"/>
    <w:pPr>
      <w:widowControl/>
      <w:spacing w:before="100" w:beforeAutospacing="1" w:after="100" w:afterAutospacing="1"/>
      <w:jc w:val="center"/>
      <w:textAlignment w:val="center"/>
    </w:pPr>
    <w:rPr>
      <w:rFonts w:ascii="宋体" w:hAnsi="宋体" w:cs="宋体"/>
      <w:kern w:val="0"/>
      <w:sz w:val="18"/>
      <w:szCs w:val="18"/>
    </w:rPr>
  </w:style>
  <w:style w:type="paragraph" w:customStyle="1" w:styleId="284">
    <w:name w:val="正文居中"/>
    <w:basedOn w:val="1"/>
    <w:next w:val="73"/>
    <w:qFormat/>
    <w:uiPriority w:val="99"/>
    <w:pPr>
      <w:jc w:val="center"/>
    </w:pPr>
    <w:rPr>
      <w:sz w:val="24"/>
      <w:szCs w:val="20"/>
    </w:rPr>
  </w:style>
  <w:style w:type="paragraph" w:customStyle="1" w:styleId="285">
    <w:name w:val="xl5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286">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87">
    <w:name w:val="xl28"/>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88">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89">
    <w:name w:val="font6"/>
    <w:basedOn w:val="1"/>
    <w:qFormat/>
    <w:uiPriority w:val="99"/>
    <w:pPr>
      <w:widowControl/>
      <w:spacing w:before="100" w:beforeAutospacing="1" w:after="100" w:afterAutospacing="1"/>
      <w:jc w:val="left"/>
    </w:pPr>
    <w:rPr>
      <w:rFonts w:ascii="宋体" w:hAnsi="宋体" w:cs="宋体"/>
      <w:b/>
      <w:bCs/>
      <w:color w:val="000000"/>
      <w:kern w:val="0"/>
      <w:sz w:val="18"/>
      <w:szCs w:val="18"/>
    </w:rPr>
  </w:style>
  <w:style w:type="paragraph" w:customStyle="1" w:styleId="290">
    <w:name w:val="表格标注（绿盟科技）"/>
    <w:basedOn w:val="291"/>
    <w:next w:val="1"/>
    <w:semiHidden/>
    <w:qFormat/>
    <w:uiPriority w:val="99"/>
    <w:pPr>
      <w:numPr>
        <w:ilvl w:val="4"/>
      </w:numPr>
      <w:tabs>
        <w:tab w:val="left" w:pos="780"/>
        <w:tab w:val="left" w:pos="1620"/>
        <w:tab w:val="left" w:pos="1680"/>
      </w:tabs>
      <w:ind w:left="1620" w:hanging="360"/>
    </w:pPr>
  </w:style>
  <w:style w:type="paragraph" w:customStyle="1" w:styleId="291">
    <w:name w:val="插图标注（绿盟科技）"/>
    <w:next w:val="1"/>
    <w:semiHidden/>
    <w:qFormat/>
    <w:uiPriority w:val="99"/>
    <w:pPr>
      <w:numPr>
        <w:ilvl w:val="3"/>
        <w:numId w:val="1"/>
      </w:numPr>
      <w:spacing w:after="156"/>
      <w:ind w:left="426" w:firstLine="0"/>
      <w:jc w:val="center"/>
    </w:pPr>
    <w:rPr>
      <w:rFonts w:ascii="Arial" w:hAnsi="Arial" w:eastAsia="宋体" w:cs="Arial"/>
      <w:sz w:val="21"/>
      <w:szCs w:val="21"/>
      <w:lang w:val="en-US" w:eastAsia="zh-CN" w:bidi="ar-SA"/>
    </w:rPr>
  </w:style>
  <w:style w:type="paragraph" w:customStyle="1" w:styleId="292">
    <w:name w:val="xl43"/>
    <w:basedOn w:val="293"/>
    <w:qFormat/>
    <w:uiPriority w:val="99"/>
    <w:pPr>
      <w:pBdr>
        <w:bottom w:val="single" w:color="auto" w:sz="4" w:space="0"/>
        <w:right w:val="single" w:color="auto" w:sz="4" w:space="0"/>
      </w:pBdr>
      <w:jc w:val="center"/>
    </w:pPr>
    <w:rPr>
      <w:sz w:val="21"/>
      <w:szCs w:val="21"/>
    </w:rPr>
  </w:style>
  <w:style w:type="paragraph" w:customStyle="1" w:styleId="293">
    <w:name w:val="style0"/>
    <w:basedOn w:val="1"/>
    <w:qFormat/>
    <w:uiPriority w:val="99"/>
    <w:pPr>
      <w:widowControl/>
      <w:spacing w:before="100" w:beforeAutospacing="1" w:after="100" w:afterAutospacing="1"/>
      <w:jc w:val="left"/>
    </w:pPr>
    <w:rPr>
      <w:rFonts w:ascii="宋体" w:hAnsi="宋体"/>
      <w:kern w:val="0"/>
      <w:sz w:val="24"/>
    </w:rPr>
  </w:style>
  <w:style w:type="paragraph" w:customStyle="1" w:styleId="294">
    <w:name w:val="xl33"/>
    <w:basedOn w:val="293"/>
    <w:qFormat/>
    <w:uiPriority w:val="99"/>
    <w:pPr>
      <w:pBdr>
        <w:bottom w:val="single" w:color="auto" w:sz="4" w:space="0"/>
        <w:right w:val="single" w:color="auto" w:sz="4" w:space="0"/>
      </w:pBdr>
      <w:jc w:val="center"/>
    </w:pPr>
    <w:rPr>
      <w:sz w:val="20"/>
      <w:szCs w:val="20"/>
    </w:rPr>
  </w:style>
  <w:style w:type="paragraph" w:customStyle="1" w:styleId="295">
    <w:name w:val="xl32"/>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96">
    <w:name w:val="xl48"/>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97">
    <w:name w:val="xl3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98">
    <w:name w:val="Char Char 字元 字元 字元 Char Char Char Char"/>
    <w:basedOn w:val="1"/>
    <w:qFormat/>
    <w:uiPriority w:val="99"/>
    <w:pPr>
      <w:adjustRightInd w:val="0"/>
      <w:spacing w:line="360" w:lineRule="auto"/>
    </w:pPr>
    <w:rPr>
      <w:kern w:val="0"/>
      <w:sz w:val="24"/>
      <w:szCs w:val="20"/>
    </w:rPr>
  </w:style>
  <w:style w:type="paragraph" w:customStyle="1" w:styleId="299">
    <w:name w:val="Normal_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00">
    <w:name w:val="xl50"/>
    <w:basedOn w:val="1"/>
    <w:qFormat/>
    <w:uiPriority w:val="99"/>
    <w:pPr>
      <w:widowControl/>
      <w:pBdr>
        <w:left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301">
    <w:name w:val="xl44"/>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302">
    <w:name w:val="xl4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303">
    <w:name w:val="样式5"/>
    <w:basedOn w:val="1"/>
    <w:next w:val="40"/>
    <w:qFormat/>
    <w:uiPriority w:val="99"/>
    <w:pPr>
      <w:tabs>
        <w:tab w:val="left" w:pos="980"/>
      </w:tabs>
      <w:spacing w:line="360" w:lineRule="auto"/>
      <w:ind w:left="140" w:right="-20"/>
      <w:outlineLvl w:val="0"/>
    </w:pPr>
    <w:rPr>
      <w:b/>
      <w:bCs/>
      <w:kern w:val="0"/>
      <w:sz w:val="28"/>
      <w:szCs w:val="28"/>
    </w:rPr>
  </w:style>
  <w:style w:type="paragraph" w:customStyle="1" w:styleId="304">
    <w:name w:val="xl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05">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306">
    <w:name w:val="Char Char1 Char Char Char Char"/>
    <w:basedOn w:val="1"/>
    <w:qFormat/>
    <w:uiPriority w:val="99"/>
    <w:pPr>
      <w:keepNext/>
      <w:keepLines/>
      <w:adjustRightInd w:val="0"/>
      <w:spacing w:beforeLines="100" w:afterLines="100" w:line="300" w:lineRule="auto"/>
      <w:ind w:firstLine="200" w:firstLineChars="200"/>
      <w:textAlignment w:val="center"/>
    </w:pPr>
    <w:rPr>
      <w:rFonts w:ascii="仿宋_GB2312" w:hAnsi="宋体" w:eastAsia="仿宋_GB2312"/>
      <w:kern w:val="0"/>
      <w:sz w:val="24"/>
      <w:szCs w:val="20"/>
    </w:rPr>
  </w:style>
  <w:style w:type="paragraph" w:customStyle="1" w:styleId="307">
    <w:name w:val="本文項目"/>
    <w:basedOn w:val="1"/>
    <w:semiHidden/>
    <w:qFormat/>
    <w:uiPriority w:val="99"/>
    <w:pPr>
      <w:tabs>
        <w:tab w:val="left" w:pos="360"/>
      </w:tabs>
      <w:autoSpaceDE w:val="0"/>
      <w:autoSpaceDN w:val="0"/>
      <w:adjustRightInd w:val="0"/>
      <w:spacing w:beforeLines="50" w:afterLines="50" w:line="360" w:lineRule="auto"/>
      <w:ind w:left="360" w:hanging="360"/>
      <w:textAlignment w:val="baseline"/>
    </w:pPr>
    <w:rPr>
      <w:b/>
      <w:kern w:val="0"/>
      <w:sz w:val="24"/>
    </w:rPr>
  </w:style>
  <w:style w:type="paragraph" w:customStyle="1" w:styleId="308">
    <w:name w:val="示例"/>
    <w:qFormat/>
    <w:uiPriority w:val="99"/>
    <w:pPr>
      <w:jc w:val="both"/>
    </w:pPr>
    <w:rPr>
      <w:rFonts w:ascii="宋体" w:hAnsi="Times New Roman" w:eastAsia="宋体" w:cs="Times New Roman"/>
      <w:sz w:val="18"/>
      <w:lang w:val="en-US" w:eastAsia="zh-CN" w:bidi="ar-SA"/>
    </w:rPr>
  </w:style>
  <w:style w:type="table" w:customStyle="1" w:styleId="309">
    <w:name w:val="网格型1"/>
    <w:qFormat/>
    <w:uiPriority w:val="9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10">
    <w:name w:val="next"/>
    <w:basedOn w:val="120"/>
    <w:qFormat/>
    <w:uiPriority w:val="0"/>
    <w:rPr>
      <w:color w:val="888888"/>
    </w:rPr>
  </w:style>
  <w:style w:type="character" w:customStyle="1" w:styleId="311">
    <w:name w:val="next1"/>
    <w:basedOn w:val="120"/>
    <w:qFormat/>
    <w:uiPriority w:val="0"/>
    <w:rPr>
      <w:rFonts w:ascii="微软雅黑" w:hAnsi="微软雅黑" w:eastAsia="微软雅黑" w:cs="微软雅黑"/>
      <w:sz w:val="14"/>
      <w:szCs w:val="14"/>
    </w:rPr>
  </w:style>
  <w:style w:type="character" w:customStyle="1" w:styleId="312">
    <w:name w:val="prev"/>
    <w:basedOn w:val="120"/>
    <w:qFormat/>
    <w:uiPriority w:val="0"/>
    <w:rPr>
      <w:color w:val="888888"/>
    </w:rPr>
  </w:style>
  <w:style w:type="character" w:customStyle="1" w:styleId="313">
    <w:name w:val="prev1"/>
    <w:basedOn w:val="120"/>
    <w:qFormat/>
    <w:uiPriority w:val="0"/>
    <w:rPr>
      <w:rFonts w:hint="eastAsia" w:ascii="微软雅黑" w:hAnsi="微软雅黑" w:eastAsia="微软雅黑" w:cs="微软雅黑"/>
      <w:sz w:val="14"/>
      <w:szCs w:val="14"/>
    </w:rPr>
  </w:style>
  <w:style w:type="character" w:customStyle="1" w:styleId="314">
    <w:name w:val="hover"/>
    <w:basedOn w:val="120"/>
    <w:qFormat/>
    <w:uiPriority w:val="0"/>
  </w:style>
  <w:style w:type="character" w:customStyle="1" w:styleId="315">
    <w:name w:val="hover1"/>
    <w:basedOn w:val="120"/>
    <w:qFormat/>
    <w:uiPriority w:val="0"/>
    <w:rPr>
      <w:color w:val="2590EB"/>
    </w:rPr>
  </w:style>
  <w:style w:type="character" w:customStyle="1" w:styleId="316">
    <w:name w:val="hover2"/>
    <w:basedOn w:val="120"/>
    <w:qFormat/>
    <w:uiPriority w:val="0"/>
    <w:rPr>
      <w:color w:val="2590EB"/>
    </w:rPr>
  </w:style>
  <w:style w:type="character" w:customStyle="1" w:styleId="317">
    <w:name w:val="input1"/>
    <w:basedOn w:val="120"/>
    <w:qFormat/>
    <w:uiPriority w:val="0"/>
    <w:rPr>
      <w:color w:val="000000"/>
      <w:sz w:val="21"/>
      <w:szCs w:val="21"/>
      <w:bdr w:val="single" w:color="000000" w:sz="2" w:space="0"/>
      <w:shd w:val="clear" w:fill="F7F2B0"/>
    </w:rPr>
  </w:style>
  <w:style w:type="character" w:customStyle="1" w:styleId="318">
    <w:name w:val="wdate1"/>
    <w:basedOn w:val="120"/>
    <w:qFormat/>
    <w:uiPriority w:val="0"/>
    <w:rPr>
      <w:shd w:val="clear" w:fill="F7F2B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DJGS.COM</Company>
  <Pages>71</Pages>
  <Words>20488</Words>
  <Characters>21792</Characters>
  <Lines>275</Lines>
  <Paragraphs>77</Paragraphs>
  <TotalTime>11</TotalTime>
  <ScaleCrop>false</ScaleCrop>
  <LinksUpToDate>false</LinksUpToDate>
  <CharactersWithSpaces>22094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2022-12-20T12:24:00Z</dcterms:created>
  <dc:creator>USER</dc:creator>
  <cp:lastModifiedBy>86178</cp:lastModifiedBy>
  <cp:lastPrinted>2024-12-17T10:37:00Z</cp:lastPrinted>
  <dcterms:modified xsi:type="dcterms:W3CDTF">2025-02-24T01:32:32Z</dcterms:modified>
  <dc:title>招标文件目录</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259354BDD7894F4F82F210DF04404FAD_13</vt:lpwstr>
  </property>
  <property fmtid="{D5CDD505-2E9C-101B-9397-08002B2CF9AE}" pid="4" name="KSOTemplateDocerSaveRecord">
    <vt:lpwstr>eyJoZGlkIjoiZmQyNGFkOTMyZmYxOGNlYTEzZjczYmM3ZjYwNDRkNWIiLCJ1c2VySWQiOiIyNzA0ODAwNzAifQ==</vt:lpwstr>
  </property>
</Properties>
</file>