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项目名称：</w:t>
      </w:r>
      <w:r w:rsidR="00B45FFB">
        <w:rPr>
          <w:rFonts w:ascii="宋体" w:hAnsi="宋体" w:cs="宋体" w:hint="eastAsia"/>
          <w:b/>
          <w:kern w:val="0"/>
          <w:sz w:val="32"/>
          <w:szCs w:val="32"/>
        </w:rPr>
        <w:t>空压机维保</w:t>
      </w:r>
    </w:p>
    <w:p w:rsidR="00AF405F" w:rsidRPr="00AD5CE0"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项目编号：</w:t>
      </w:r>
      <w:r w:rsidR="00B45FFB">
        <w:rPr>
          <w:rFonts w:ascii="宋体" w:hAnsi="宋体" w:cs="宋体" w:hint="eastAsia"/>
          <w:b/>
          <w:kern w:val="0"/>
          <w:sz w:val="32"/>
          <w:szCs w:val="32"/>
        </w:rPr>
        <w:t>2019-H-75</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AF405F">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B45FFB">
        <w:rPr>
          <w:rStyle w:val="a3"/>
          <w:rFonts w:ascii="宋体" w:hAnsi="宋体" w:hint="eastAsia"/>
          <w:b/>
          <w:sz w:val="30"/>
          <w:szCs w:val="30"/>
        </w:rPr>
        <w:t>2019年12月06日</w:t>
      </w:r>
    </w:p>
    <w:p w:rsidR="00763977"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B45FFB">
              <w:rPr>
                <w:rFonts w:ascii="宋体" w:hAnsi="宋体" w:cs="宋体" w:hint="eastAsia"/>
                <w:b/>
                <w:kern w:val="0"/>
                <w:sz w:val="28"/>
                <w:szCs w:val="28"/>
              </w:rPr>
              <w:t>空压机维保</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70DD9">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B45FFB">
              <w:rPr>
                <w:rFonts w:ascii="宋体" w:hAnsi="宋体" w:cs="宋体" w:hint="eastAsia"/>
                <w:b/>
                <w:kern w:val="0"/>
                <w:sz w:val="24"/>
              </w:rPr>
              <w:t>2019年12月06日</w:t>
            </w:r>
            <w:r w:rsidR="00CC7FD9" w:rsidRPr="000820B6">
              <w:rPr>
                <w:rFonts w:ascii="宋体" w:hAnsi="宋体" w:cs="宋体" w:hint="eastAsia"/>
                <w:kern w:val="0"/>
                <w:sz w:val="24"/>
              </w:rPr>
              <w:t>开始起上午8：00--11：30，下午2:30—5:00至</w:t>
            </w:r>
            <w:r w:rsidR="00B45FFB">
              <w:rPr>
                <w:rFonts w:ascii="宋体" w:hAnsi="宋体" w:cs="宋体" w:hint="eastAsia"/>
                <w:b/>
                <w:kern w:val="0"/>
                <w:sz w:val="24"/>
              </w:rPr>
              <w:t>2019年12月13日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B45FFB">
              <w:rPr>
                <w:rFonts w:ascii="宋体" w:hAnsi="宋体" w:cs="宋体" w:hint="eastAsia"/>
                <w:b/>
                <w:kern w:val="0"/>
                <w:sz w:val="24"/>
              </w:rPr>
              <w:t>2019年12月13日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897692">
              <w:rPr>
                <w:rFonts w:ascii="宋体" w:hAnsi="宋体" w:hint="eastAsia"/>
                <w:sz w:val="24"/>
              </w:rPr>
              <w:t>杨</w:t>
            </w:r>
            <w:r w:rsidR="00AF405F">
              <w:rPr>
                <w:rFonts w:ascii="宋体" w:hAnsi="宋体" w:hint="eastAsia"/>
                <w:sz w:val="24"/>
              </w:rPr>
              <w:t>老师</w:t>
            </w:r>
            <w:r w:rsidR="00A2719B">
              <w:rPr>
                <w:rFonts w:ascii="宋体" w:hAnsi="宋体" w:hint="eastAsia"/>
                <w:sz w:val="24"/>
              </w:rPr>
              <w:t xml:space="preserve"> 电话：</w:t>
            </w:r>
            <w:r w:rsidR="001E27FD" w:rsidRPr="001E27FD">
              <w:rPr>
                <w:rFonts w:ascii="宋体" w:hAnsi="宋体" w:cs="宋体" w:hint="eastAsia"/>
                <w:kern w:val="0"/>
                <w:sz w:val="24"/>
              </w:rPr>
              <w:t>0538-6298227</w:t>
            </w:r>
          </w:p>
          <w:p w:rsidR="00763977" w:rsidRDefault="00170DD9" w:rsidP="00763977">
            <w:pPr>
              <w:widowControl/>
              <w:spacing w:line="360" w:lineRule="exact"/>
              <w:jc w:val="left"/>
              <w:rPr>
                <w:rFonts w:ascii="宋体" w:hAnsi="宋体" w:cs="宋体"/>
                <w:kern w:val="0"/>
                <w:sz w:val="24"/>
              </w:rPr>
            </w:pPr>
            <w:r>
              <w:rPr>
                <w:rFonts w:ascii="宋体" w:hAnsi="宋体" w:cs="宋体" w:hint="eastAsia"/>
                <w:kern w:val="0"/>
                <w:sz w:val="24"/>
              </w:rPr>
              <w:t>技术部分：</w:t>
            </w:r>
            <w:r w:rsidR="00763977">
              <w:rPr>
                <w:rFonts w:ascii="宋体" w:hAnsi="宋体" w:cs="宋体" w:hint="eastAsia"/>
                <w:kern w:val="0"/>
                <w:sz w:val="24"/>
              </w:rPr>
              <w:t>扈主任</w:t>
            </w:r>
            <w:r w:rsidR="00A2719B" w:rsidRPr="00A2719B">
              <w:rPr>
                <w:rFonts w:ascii="宋体" w:hAnsi="宋体" w:cs="宋体" w:hint="eastAsia"/>
                <w:kern w:val="0"/>
                <w:sz w:val="24"/>
              </w:rPr>
              <w:t xml:space="preserve"> 电话：</w:t>
            </w:r>
            <w:r w:rsidR="00763977">
              <w:rPr>
                <w:rFonts w:ascii="宋体" w:hAnsi="宋体" w:cs="宋体" w:hint="eastAsia"/>
                <w:kern w:val="0"/>
                <w:sz w:val="24"/>
              </w:rPr>
              <w:t>0538-6298212</w:t>
            </w:r>
          </w:p>
          <w:p w:rsidR="00170DD9" w:rsidRPr="00763977" w:rsidRDefault="00170DD9" w:rsidP="00763977">
            <w:pPr>
              <w:widowControl/>
              <w:spacing w:line="360" w:lineRule="exact"/>
              <w:jc w:val="left"/>
              <w:rPr>
                <w:rFonts w:ascii="宋体" w:hAnsi="宋体" w:cs="宋体"/>
                <w:kern w:val="0"/>
                <w:sz w:val="24"/>
              </w:rPr>
            </w:pP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r w:rsidR="00793A28" w:rsidRPr="00793A28">
              <w:rPr>
                <w:rFonts w:ascii="宋体" w:hAnsi="宋体" w:cs="宋体" w:hint="eastAsia"/>
                <w:kern w:val="0"/>
                <w:sz w:val="24"/>
              </w:rPr>
              <w:t>zxyyzbcgzx@ta.shandong.cn</w:t>
            </w:r>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B45FFB">
        <w:rPr>
          <w:rFonts w:ascii="宋体" w:hAnsi="宋体" w:cs="宋体" w:hint="eastAsia"/>
          <w:b/>
          <w:kern w:val="0"/>
          <w:sz w:val="24"/>
        </w:rPr>
        <w:t>空压机维保</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B45FFB">
        <w:rPr>
          <w:rFonts w:ascii="宋体" w:hAnsi="宋体" w:hint="eastAsia"/>
          <w:sz w:val="24"/>
        </w:rPr>
        <w:t>2019-H-75</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B45FFB">
        <w:rPr>
          <w:rFonts w:ascii="宋体" w:hAnsi="宋体" w:cs="宋体" w:hint="eastAsia"/>
          <w:kern w:val="0"/>
          <w:sz w:val="24"/>
        </w:rPr>
        <w:t>空压机维保</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B45FFB">
        <w:rPr>
          <w:rFonts w:ascii="宋体" w:hAnsi="宋体" w:hint="eastAsia"/>
          <w:sz w:val="24"/>
        </w:rPr>
        <w:t>2019-H-75</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B45FFB">
        <w:rPr>
          <w:rFonts w:ascii="宋体" w:hAnsi="宋体" w:cs="宋体" w:hint="eastAsia"/>
          <w:b/>
          <w:kern w:val="0"/>
          <w:sz w:val="24"/>
        </w:rPr>
        <w:t>2019年12月06日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B45FFB">
        <w:rPr>
          <w:rFonts w:ascii="宋体" w:hAnsi="宋体" w:cs="宋体" w:hint="eastAsia"/>
          <w:b/>
          <w:kern w:val="0"/>
          <w:sz w:val="24"/>
        </w:rPr>
        <w:t>2019年12月13日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B45FFB">
        <w:rPr>
          <w:rFonts w:ascii="宋体" w:hAnsi="宋体" w:cs="宋体" w:hint="eastAsia"/>
          <w:b/>
          <w:kern w:val="0"/>
          <w:sz w:val="24"/>
        </w:rPr>
        <w:t>2019年12月13日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hint="eastAsia"/>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B45FFB">
        <w:rPr>
          <w:rFonts w:hint="eastAsia"/>
          <w:b/>
          <w:sz w:val="32"/>
          <w:szCs w:val="32"/>
        </w:rPr>
        <w:t>空压机维保</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742DAB" w:rsidRDefault="00B45FFB" w:rsidP="00467B70">
      <w:pPr>
        <w:spacing w:line="480" w:lineRule="exact"/>
        <w:ind w:firstLineChars="845" w:firstLine="2715"/>
        <w:rPr>
          <w:b/>
          <w:sz w:val="32"/>
          <w:szCs w:val="32"/>
        </w:rPr>
      </w:pPr>
      <w:r>
        <w:rPr>
          <w:rFonts w:hint="eastAsia"/>
          <w:b/>
          <w:sz w:val="32"/>
          <w:szCs w:val="32"/>
        </w:rPr>
        <w:t>空压机维保</w:t>
      </w:r>
      <w:r w:rsidR="005C3107">
        <w:rPr>
          <w:rFonts w:hint="eastAsia"/>
          <w:b/>
          <w:sz w:val="32"/>
          <w:szCs w:val="32"/>
        </w:rPr>
        <w:t>参数</w:t>
      </w:r>
      <w:r w:rsidR="00742DAB">
        <w:rPr>
          <w:rFonts w:hint="eastAsia"/>
          <w:b/>
          <w:sz w:val="32"/>
          <w:szCs w:val="32"/>
        </w:rPr>
        <w:t>要求</w:t>
      </w:r>
    </w:p>
    <w:p w:rsidR="00B45FFB" w:rsidRDefault="00B45FFB" w:rsidP="00B45FFB">
      <w:pPr>
        <w:rPr>
          <w:rFonts w:ascii="宋体" w:hAnsi="宋体" w:cs="宋体"/>
          <w:b/>
          <w:bCs/>
          <w:sz w:val="32"/>
          <w:szCs w:val="32"/>
        </w:rPr>
      </w:pPr>
      <w:r>
        <w:rPr>
          <w:rFonts w:ascii="宋体" w:hAnsi="宋体" w:cs="宋体" w:hint="eastAsia"/>
          <w:b/>
          <w:bCs/>
          <w:sz w:val="32"/>
          <w:szCs w:val="32"/>
        </w:rPr>
        <w:t>一、维修保养范围:</w:t>
      </w:r>
    </w:p>
    <w:p w:rsidR="00B45FFB" w:rsidRDefault="00B45FFB" w:rsidP="00B45FFB">
      <w:pPr>
        <w:rPr>
          <w:rFonts w:ascii="宋体" w:hAnsi="宋体" w:cs="宋体"/>
          <w:sz w:val="32"/>
          <w:szCs w:val="32"/>
        </w:rPr>
      </w:pPr>
      <w:r>
        <w:rPr>
          <w:rFonts w:ascii="宋体" w:hAnsi="宋体" w:cs="宋体" w:hint="eastAsia"/>
          <w:sz w:val="32"/>
          <w:szCs w:val="32"/>
        </w:rPr>
        <w:t>第三住院部两台DSR-30A空压机、两台SJ3N-F冷干机；中心空调一台DSR-40A空压机、两台75AC冷干机、一台SLAD-3WXF无热吸附式干燥机的维护和保养,具体事项如下:</w:t>
      </w:r>
    </w:p>
    <w:p w:rsidR="00B45FFB" w:rsidRDefault="00B45FFB" w:rsidP="00B45FFB">
      <w:pPr>
        <w:rPr>
          <w:rFonts w:ascii="宋体" w:hAnsi="宋体" w:cs="宋体"/>
          <w:sz w:val="32"/>
          <w:szCs w:val="32"/>
        </w:rPr>
      </w:pPr>
      <w:r>
        <w:rPr>
          <w:rFonts w:ascii="宋体" w:hAnsi="宋体" w:cs="宋体" w:hint="eastAsia"/>
          <w:sz w:val="32"/>
          <w:szCs w:val="32"/>
        </w:rPr>
        <w:t>(1)乙方每年为甲方的3台空压机和干燥机定期维护保养两次(每工作2000小时保养一次);</w:t>
      </w:r>
    </w:p>
    <w:p w:rsidR="00B45FFB" w:rsidRDefault="00B45FFB" w:rsidP="00B45FFB">
      <w:pPr>
        <w:rPr>
          <w:rFonts w:ascii="宋体" w:hAnsi="宋体" w:cs="宋体"/>
          <w:sz w:val="32"/>
          <w:szCs w:val="32"/>
        </w:rPr>
      </w:pPr>
      <w:r>
        <w:rPr>
          <w:rFonts w:ascii="宋体" w:hAnsi="宋体" w:cs="宋体" w:hint="eastAsia"/>
          <w:sz w:val="32"/>
          <w:szCs w:val="32"/>
        </w:rPr>
        <w:t>(2)每次维护保养免费更换的配件为: 空气滤芯、机油滤芯、空压机专用油和油气分离器滤芯(油气分离器滤芯每工作4000小时更换一次)等所有属于维保范围的配件。</w:t>
      </w:r>
    </w:p>
    <w:p w:rsidR="00B45FFB" w:rsidRDefault="00B45FFB" w:rsidP="00B45FFB">
      <w:pPr>
        <w:rPr>
          <w:rFonts w:ascii="宋体" w:hAnsi="宋体" w:cs="宋体"/>
          <w:sz w:val="32"/>
          <w:szCs w:val="32"/>
        </w:rPr>
      </w:pPr>
      <w:r>
        <w:rPr>
          <w:rFonts w:ascii="宋体" w:hAnsi="宋体" w:cs="宋体" w:hint="eastAsia"/>
          <w:sz w:val="32"/>
          <w:szCs w:val="32"/>
        </w:rPr>
        <w:t>(3)空压机、冷干机除电器元件外都属于维保范围,电器元件由甲方自购,乙方负责免费提供安装更换服务。</w:t>
      </w:r>
    </w:p>
    <w:p w:rsidR="00B45FFB" w:rsidRDefault="00B45FFB" w:rsidP="00B45FFB">
      <w:pPr>
        <w:rPr>
          <w:rFonts w:ascii="宋体" w:hAnsi="宋体" w:cs="宋体"/>
          <w:b/>
          <w:bCs/>
          <w:sz w:val="32"/>
          <w:szCs w:val="32"/>
        </w:rPr>
      </w:pPr>
      <w:r>
        <w:rPr>
          <w:rFonts w:ascii="宋体" w:hAnsi="宋体" w:cs="宋体" w:hint="eastAsia"/>
          <w:b/>
          <w:bCs/>
          <w:sz w:val="32"/>
          <w:szCs w:val="32"/>
        </w:rPr>
        <w:t>二、服务要求:</w:t>
      </w:r>
    </w:p>
    <w:p w:rsidR="00B45FFB" w:rsidRDefault="00B45FFB" w:rsidP="00B45FFB">
      <w:pPr>
        <w:rPr>
          <w:rFonts w:ascii="宋体" w:hAnsi="宋体" w:cs="宋体"/>
          <w:sz w:val="32"/>
          <w:szCs w:val="32"/>
        </w:rPr>
      </w:pPr>
      <w:r>
        <w:rPr>
          <w:rFonts w:ascii="宋体" w:hAnsi="宋体" w:cs="宋体" w:hint="eastAsia"/>
          <w:sz w:val="32"/>
          <w:szCs w:val="32"/>
        </w:rPr>
        <w:t>（1）乙方有维护空压机和干燥机良好运行的责任;</w:t>
      </w:r>
    </w:p>
    <w:p w:rsidR="00B45FFB" w:rsidRDefault="00B45FFB" w:rsidP="00B45FFB">
      <w:pPr>
        <w:rPr>
          <w:rFonts w:ascii="宋体" w:hAnsi="宋体" w:cs="宋体"/>
          <w:sz w:val="32"/>
          <w:szCs w:val="32"/>
        </w:rPr>
      </w:pPr>
      <w:r>
        <w:rPr>
          <w:rFonts w:ascii="宋体" w:hAnsi="宋体" w:cs="宋体" w:hint="eastAsia"/>
          <w:sz w:val="32"/>
          <w:szCs w:val="32"/>
        </w:rPr>
        <w:t>（2）有故障时维修响应时间不能超过24小时,无故障时要保证每月不少于一次的检查和维护,发现问题立即解决；</w:t>
      </w:r>
    </w:p>
    <w:p w:rsidR="00B45FFB" w:rsidRDefault="00B45FFB" w:rsidP="00B45FFB">
      <w:pPr>
        <w:rPr>
          <w:rFonts w:ascii="宋体" w:hAnsi="宋体" w:cs="宋体"/>
          <w:sz w:val="32"/>
          <w:szCs w:val="32"/>
        </w:rPr>
      </w:pPr>
      <w:r>
        <w:rPr>
          <w:rFonts w:ascii="宋体" w:hAnsi="宋体" w:cs="宋体" w:hint="eastAsia"/>
          <w:sz w:val="32"/>
          <w:szCs w:val="32"/>
        </w:rPr>
        <w:t>（3）对甲方管理和操作人员进行专业技术执导;</w:t>
      </w:r>
    </w:p>
    <w:p w:rsidR="00B45FFB" w:rsidRDefault="00B45FFB" w:rsidP="00B45FFB">
      <w:pPr>
        <w:rPr>
          <w:rFonts w:ascii="宋体" w:hAnsi="宋体" w:cs="宋体"/>
          <w:sz w:val="32"/>
          <w:szCs w:val="32"/>
        </w:rPr>
      </w:pPr>
      <w:r>
        <w:rPr>
          <w:rFonts w:ascii="宋体" w:hAnsi="宋体" w:cs="宋体" w:hint="eastAsia"/>
          <w:sz w:val="32"/>
          <w:szCs w:val="32"/>
        </w:rPr>
        <w:t>（4）因维护保养不及时或不到位导致发生系统故障,造成设备损坏,由乙方全部承担。</w:t>
      </w:r>
    </w:p>
    <w:p w:rsidR="007170A9" w:rsidRPr="00B45FFB"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B45FFB">
        <w:rPr>
          <w:rFonts w:ascii="宋体" w:hAnsi="宋体" w:hint="eastAsia"/>
          <w:b/>
          <w:sz w:val="24"/>
        </w:rPr>
        <w:t>空压机维保</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B45FFB">
        <w:rPr>
          <w:rFonts w:ascii="宋体" w:hAnsi="宋体" w:hint="eastAsia"/>
          <w:color w:val="000000"/>
          <w:sz w:val="24"/>
        </w:rPr>
        <w:t>2019-H-75</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B45FFB" w:rsidP="000571DF">
            <w:pPr>
              <w:widowControl/>
              <w:spacing w:line="480" w:lineRule="exact"/>
              <w:jc w:val="center"/>
              <w:rPr>
                <w:rFonts w:ascii="宋体" w:hAnsi="宋体" w:cs="宋体"/>
                <w:kern w:val="0"/>
                <w:sz w:val="24"/>
              </w:rPr>
            </w:pPr>
            <w:r>
              <w:rPr>
                <w:rFonts w:ascii="宋体" w:hAnsi="宋体" w:cs="宋体" w:hint="eastAsia"/>
                <w:kern w:val="0"/>
                <w:sz w:val="24"/>
              </w:rPr>
              <w:t>空压机维保</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467B70" w:rsidP="000571DF">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hint="eastAsia"/>
          <w:sz w:val="24"/>
        </w:rPr>
      </w:pPr>
    </w:p>
    <w:p w:rsidR="00467B70" w:rsidRDefault="00467B70" w:rsidP="00C24978">
      <w:pPr>
        <w:spacing w:line="480" w:lineRule="exact"/>
        <w:rPr>
          <w:rFonts w:ascii="宋体" w:hAnsi="宋体" w:hint="eastAsia"/>
          <w:sz w:val="24"/>
        </w:rPr>
      </w:pPr>
    </w:p>
    <w:p w:rsidR="00AF405F" w:rsidRDefault="00AF405F" w:rsidP="00C24978">
      <w:pPr>
        <w:spacing w:line="480" w:lineRule="exact"/>
        <w:rPr>
          <w:rFonts w:ascii="宋体" w:hAnsi="宋体"/>
          <w:sz w:val="24"/>
        </w:rPr>
      </w:pPr>
      <w:r>
        <w:rPr>
          <w:rFonts w:ascii="宋体" w:hAnsi="宋体" w:hint="eastAsia"/>
          <w:sz w:val="24"/>
        </w:rPr>
        <w:lastRenderedPageBreak/>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806"/>
        <w:gridCol w:w="1478"/>
        <w:gridCol w:w="1781"/>
        <w:gridCol w:w="1285"/>
      </w:tblGrid>
      <w:tr w:rsidR="00170DD9" w:rsidRPr="00773F7F" w:rsidTr="00170DD9">
        <w:trPr>
          <w:trHeight w:val="564"/>
        </w:trPr>
        <w:tc>
          <w:tcPr>
            <w:tcW w:w="2123" w:type="dxa"/>
            <w:vAlign w:val="center"/>
          </w:tcPr>
          <w:p w:rsidR="00170DD9" w:rsidRPr="007B105C" w:rsidRDefault="00170DD9" w:rsidP="00D347DB">
            <w:pPr>
              <w:jc w:val="center"/>
              <w:rPr>
                <w:sz w:val="24"/>
              </w:rPr>
            </w:pPr>
            <w:r w:rsidRPr="007B105C">
              <w:rPr>
                <w:rFonts w:hint="eastAsia"/>
                <w:sz w:val="24"/>
              </w:rPr>
              <w:t>序号</w:t>
            </w:r>
          </w:p>
        </w:tc>
        <w:tc>
          <w:tcPr>
            <w:tcW w:w="2806" w:type="dxa"/>
            <w:vAlign w:val="center"/>
          </w:tcPr>
          <w:p w:rsidR="00170DD9" w:rsidRPr="007B105C" w:rsidRDefault="00170DD9" w:rsidP="00D347DB">
            <w:pPr>
              <w:jc w:val="center"/>
              <w:rPr>
                <w:sz w:val="24"/>
              </w:rPr>
            </w:pPr>
            <w:r>
              <w:rPr>
                <w:rFonts w:hint="eastAsia"/>
                <w:sz w:val="24"/>
              </w:rPr>
              <w:t>工程名称</w:t>
            </w:r>
          </w:p>
        </w:tc>
        <w:tc>
          <w:tcPr>
            <w:tcW w:w="1478" w:type="dxa"/>
            <w:vAlign w:val="center"/>
          </w:tcPr>
          <w:p w:rsidR="00170DD9" w:rsidRPr="007B105C" w:rsidRDefault="00170DD9" w:rsidP="00D347DB">
            <w:pPr>
              <w:jc w:val="center"/>
              <w:rPr>
                <w:sz w:val="24"/>
              </w:rPr>
            </w:pPr>
            <w:r>
              <w:rPr>
                <w:rFonts w:hint="eastAsia"/>
                <w:sz w:val="24"/>
              </w:rPr>
              <w:t>单位</w:t>
            </w:r>
          </w:p>
        </w:tc>
        <w:tc>
          <w:tcPr>
            <w:tcW w:w="1781" w:type="dxa"/>
            <w:vAlign w:val="center"/>
          </w:tcPr>
          <w:p w:rsidR="00170DD9" w:rsidRPr="007B105C" w:rsidRDefault="00170DD9" w:rsidP="00D347DB">
            <w:pPr>
              <w:jc w:val="center"/>
              <w:rPr>
                <w:sz w:val="24"/>
              </w:rPr>
            </w:pPr>
            <w:r>
              <w:rPr>
                <w:rFonts w:hint="eastAsia"/>
                <w:sz w:val="24"/>
              </w:rPr>
              <w:t>数量</w:t>
            </w:r>
          </w:p>
        </w:tc>
        <w:tc>
          <w:tcPr>
            <w:tcW w:w="1285" w:type="dxa"/>
            <w:vAlign w:val="center"/>
          </w:tcPr>
          <w:p w:rsidR="00170DD9" w:rsidRDefault="00170DD9" w:rsidP="00D347DB">
            <w:pPr>
              <w:jc w:val="center"/>
              <w:rPr>
                <w:sz w:val="24"/>
              </w:rPr>
            </w:pPr>
            <w:r>
              <w:rPr>
                <w:rFonts w:hint="eastAsia"/>
                <w:sz w:val="24"/>
              </w:rPr>
              <w:t>报价</w:t>
            </w:r>
          </w:p>
        </w:tc>
      </w:tr>
      <w:tr w:rsidR="00170DD9" w:rsidRPr="00773F7F" w:rsidTr="00170DD9">
        <w:trPr>
          <w:trHeight w:val="564"/>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85016A">
            <w:pPr>
              <w:tabs>
                <w:tab w:val="center" w:pos="4153"/>
                <w:tab w:val="right" w:pos="8306"/>
              </w:tabs>
              <w:snapToGrid w:val="0"/>
              <w:ind w:firstLineChars="100" w:firstLine="240"/>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647"/>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607"/>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B105C" w:rsidTr="00170DD9">
        <w:trPr>
          <w:trHeight w:val="590"/>
        </w:trPr>
        <w:tc>
          <w:tcPr>
            <w:tcW w:w="2123" w:type="dxa"/>
            <w:tcBorders>
              <w:top w:val="single" w:sz="4" w:space="0" w:color="auto"/>
              <w:left w:val="single" w:sz="4" w:space="0" w:color="auto"/>
              <w:bottom w:val="single" w:sz="4" w:space="0" w:color="auto"/>
              <w:right w:val="single" w:sz="4" w:space="0" w:color="auto"/>
            </w:tcBorders>
            <w:vAlign w:val="center"/>
          </w:tcPr>
          <w:p w:rsidR="00170DD9" w:rsidRPr="007B105C" w:rsidRDefault="00170DD9" w:rsidP="00D347DB">
            <w:pPr>
              <w:jc w:val="cente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285" w:type="dxa"/>
            <w:tcBorders>
              <w:top w:val="single" w:sz="4" w:space="0" w:color="auto"/>
              <w:left w:val="single" w:sz="4" w:space="0" w:color="auto"/>
              <w:bottom w:val="single" w:sz="4" w:space="0" w:color="auto"/>
              <w:right w:val="single" w:sz="4" w:space="0" w:color="auto"/>
            </w:tcBorders>
          </w:tcPr>
          <w:p w:rsidR="00170DD9" w:rsidRPr="007B105C" w:rsidRDefault="00170DD9" w:rsidP="00D347DB">
            <w:pPr>
              <w:jc w:val="center"/>
              <w:rPr>
                <w:sz w:val="24"/>
              </w:rPr>
            </w:pPr>
          </w:p>
        </w:tc>
      </w:tr>
      <w:tr w:rsidR="00170DD9" w:rsidRPr="007B105C" w:rsidTr="00170DD9">
        <w:trPr>
          <w:trHeight w:val="746"/>
        </w:trPr>
        <w:tc>
          <w:tcPr>
            <w:tcW w:w="2123" w:type="dxa"/>
            <w:tcBorders>
              <w:top w:val="single" w:sz="4" w:space="0" w:color="auto"/>
              <w:left w:val="single" w:sz="4" w:space="0" w:color="auto"/>
              <w:bottom w:val="single" w:sz="4" w:space="0" w:color="auto"/>
              <w:right w:val="single" w:sz="4" w:space="0" w:color="auto"/>
            </w:tcBorders>
            <w:vAlign w:val="center"/>
          </w:tcPr>
          <w:p w:rsidR="00170DD9" w:rsidRPr="007B105C" w:rsidRDefault="00170DD9" w:rsidP="00D347DB">
            <w:pPr>
              <w:jc w:val="cente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285" w:type="dxa"/>
            <w:tcBorders>
              <w:top w:val="single" w:sz="4" w:space="0" w:color="auto"/>
              <w:left w:val="single" w:sz="4" w:space="0" w:color="auto"/>
              <w:bottom w:val="single" w:sz="4" w:space="0" w:color="auto"/>
              <w:right w:val="single" w:sz="4" w:space="0" w:color="auto"/>
            </w:tcBorders>
          </w:tcPr>
          <w:p w:rsidR="00170DD9" w:rsidRPr="007B105C" w:rsidRDefault="00170DD9" w:rsidP="00D347DB">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lastRenderedPageBreak/>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lastRenderedPageBreak/>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B45FFB">
              <w:rPr>
                <w:rFonts w:ascii="宋体" w:hAnsi="宋体" w:cs="宋体" w:hint="eastAsia"/>
                <w:b/>
                <w:kern w:val="0"/>
                <w:sz w:val="24"/>
              </w:rPr>
              <w:t>2019年12月13日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C004D6">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0EB" w:rsidRDefault="009450EB">
      <w:r>
        <w:separator/>
      </w:r>
    </w:p>
  </w:endnote>
  <w:endnote w:type="continuationSeparator" w:id="1">
    <w:p w:rsidR="009450EB" w:rsidRDefault="00945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隶书"/>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E069B8">
    <w:pPr>
      <w:pStyle w:val="a5"/>
      <w:framePr w:h="0" w:wrap="around" w:vAnchor="text" w:hAnchor="margin" w:xAlign="center" w:y="1"/>
      <w:rPr>
        <w:rStyle w:val="a3"/>
      </w:rPr>
    </w:pPr>
    <w:r>
      <w:fldChar w:fldCharType="begin"/>
    </w:r>
    <w:r w:rsidR="00742DAB">
      <w:rPr>
        <w:rStyle w:val="a3"/>
      </w:rPr>
      <w:instrText xml:space="preserve">PAGE  </w:instrText>
    </w:r>
    <w:r>
      <w:fldChar w:fldCharType="end"/>
    </w:r>
  </w:p>
  <w:p w:rsidR="00742DAB" w:rsidRDefault="00742D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742DAB">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E069B8">
      <w:fldChar w:fldCharType="begin"/>
    </w:r>
    <w:r>
      <w:rPr>
        <w:rStyle w:val="a3"/>
      </w:rPr>
      <w:instrText xml:space="preserve"> PAGE </w:instrText>
    </w:r>
    <w:r w:rsidR="00E069B8">
      <w:fldChar w:fldCharType="separate"/>
    </w:r>
    <w:r w:rsidR="00467B70">
      <w:rPr>
        <w:rStyle w:val="a3"/>
        <w:noProof/>
      </w:rPr>
      <w:t>1</w:t>
    </w:r>
    <w:r w:rsidR="00E069B8">
      <w:fldChar w:fldCharType="end"/>
    </w:r>
    <w:r>
      <w:rPr>
        <w:rStyle w:val="a3"/>
        <w:rFonts w:hint="eastAsia"/>
      </w:rPr>
      <w:t>页</w:t>
    </w:r>
    <w:r>
      <w:rPr>
        <w:rStyle w:val="a3"/>
        <w:rFonts w:hint="eastAsia"/>
      </w:rPr>
      <w:t>,</w:t>
    </w:r>
    <w:r>
      <w:rPr>
        <w:rStyle w:val="a3"/>
        <w:rFonts w:hint="eastAsia"/>
      </w:rPr>
      <w:t>共</w:t>
    </w:r>
    <w:r>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742DAB" w:rsidRDefault="00742DAB">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0EB" w:rsidRDefault="009450EB">
      <w:r>
        <w:separator/>
      </w:r>
    </w:p>
  </w:footnote>
  <w:footnote w:type="continuationSeparator" w:id="1">
    <w:p w:rsidR="009450EB" w:rsidRDefault="00945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E069B8">
    <w:pPr>
      <w:pStyle w:val="a7"/>
      <w:framePr w:h="0" w:wrap="around" w:vAnchor="text" w:hAnchor="margin" w:xAlign="center" w:y="1"/>
      <w:rPr>
        <w:rStyle w:val="a3"/>
      </w:rPr>
    </w:pPr>
    <w:r>
      <w:fldChar w:fldCharType="begin"/>
    </w:r>
    <w:r w:rsidR="00742DAB">
      <w:rPr>
        <w:rStyle w:val="a3"/>
      </w:rPr>
      <w:instrText xml:space="preserve">PAGE  </w:instrText>
    </w:r>
    <w:r>
      <w:fldChar w:fldCharType="end"/>
    </w:r>
  </w:p>
  <w:p w:rsidR="00742DAB" w:rsidRDefault="00742D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742DAB">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B45FFB">
      <w:rPr>
        <w:rStyle w:val="a3"/>
        <w:rFonts w:hint="eastAsia"/>
      </w:rPr>
      <w:t>2019-H-75</w:t>
    </w:r>
  </w:p>
  <w:p w:rsidR="00742DAB" w:rsidRDefault="00742DAB">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8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77CC"/>
    <w:rsid w:val="00072A85"/>
    <w:rsid w:val="0007345B"/>
    <w:rsid w:val="000820B6"/>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6740"/>
    <w:rsid w:val="00161363"/>
    <w:rsid w:val="00162CBA"/>
    <w:rsid w:val="0017077C"/>
    <w:rsid w:val="00170DD9"/>
    <w:rsid w:val="00172A27"/>
    <w:rsid w:val="00193811"/>
    <w:rsid w:val="0019620F"/>
    <w:rsid w:val="001C7707"/>
    <w:rsid w:val="001C786F"/>
    <w:rsid w:val="001D35C1"/>
    <w:rsid w:val="001D3918"/>
    <w:rsid w:val="001D643D"/>
    <w:rsid w:val="001E1685"/>
    <w:rsid w:val="001E27D4"/>
    <w:rsid w:val="001E27FD"/>
    <w:rsid w:val="001E2B94"/>
    <w:rsid w:val="001E33D5"/>
    <w:rsid w:val="001E40A0"/>
    <w:rsid w:val="001E4754"/>
    <w:rsid w:val="001E4A9A"/>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71D88"/>
    <w:rsid w:val="003767F3"/>
    <w:rsid w:val="0039207D"/>
    <w:rsid w:val="003932E0"/>
    <w:rsid w:val="00393E9D"/>
    <w:rsid w:val="00394023"/>
    <w:rsid w:val="003A00A4"/>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52CF"/>
    <w:rsid w:val="004D5DE7"/>
    <w:rsid w:val="004E2131"/>
    <w:rsid w:val="004F3003"/>
    <w:rsid w:val="00520C5F"/>
    <w:rsid w:val="00522CCA"/>
    <w:rsid w:val="00523E38"/>
    <w:rsid w:val="00525893"/>
    <w:rsid w:val="0053163B"/>
    <w:rsid w:val="00533972"/>
    <w:rsid w:val="00536661"/>
    <w:rsid w:val="00537950"/>
    <w:rsid w:val="00541221"/>
    <w:rsid w:val="00567D01"/>
    <w:rsid w:val="00584685"/>
    <w:rsid w:val="00585D42"/>
    <w:rsid w:val="00593187"/>
    <w:rsid w:val="005A4676"/>
    <w:rsid w:val="005A55D9"/>
    <w:rsid w:val="005A7605"/>
    <w:rsid w:val="005B2973"/>
    <w:rsid w:val="005C3107"/>
    <w:rsid w:val="005C3CFB"/>
    <w:rsid w:val="005C4D33"/>
    <w:rsid w:val="005D38D7"/>
    <w:rsid w:val="005D4919"/>
    <w:rsid w:val="005E22F8"/>
    <w:rsid w:val="005E638D"/>
    <w:rsid w:val="005F717C"/>
    <w:rsid w:val="0060541C"/>
    <w:rsid w:val="00610D07"/>
    <w:rsid w:val="00611D42"/>
    <w:rsid w:val="00622023"/>
    <w:rsid w:val="00643D24"/>
    <w:rsid w:val="00665EF7"/>
    <w:rsid w:val="006820BD"/>
    <w:rsid w:val="00683DBB"/>
    <w:rsid w:val="00685D11"/>
    <w:rsid w:val="00695667"/>
    <w:rsid w:val="006A7F83"/>
    <w:rsid w:val="006E2991"/>
    <w:rsid w:val="006E51A9"/>
    <w:rsid w:val="006F5ACC"/>
    <w:rsid w:val="00707E89"/>
    <w:rsid w:val="00711764"/>
    <w:rsid w:val="0071547C"/>
    <w:rsid w:val="007170A9"/>
    <w:rsid w:val="0073087D"/>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7101"/>
    <w:rsid w:val="007A29DC"/>
    <w:rsid w:val="007B0038"/>
    <w:rsid w:val="007C3A6B"/>
    <w:rsid w:val="007C4182"/>
    <w:rsid w:val="007C42B6"/>
    <w:rsid w:val="007C70C3"/>
    <w:rsid w:val="007E0811"/>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7EE8"/>
    <w:rsid w:val="008B3B29"/>
    <w:rsid w:val="008C4E44"/>
    <w:rsid w:val="008D0DFA"/>
    <w:rsid w:val="008D4405"/>
    <w:rsid w:val="008E5C55"/>
    <w:rsid w:val="008F32DE"/>
    <w:rsid w:val="008F644F"/>
    <w:rsid w:val="009072FC"/>
    <w:rsid w:val="009166CF"/>
    <w:rsid w:val="00921E15"/>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609FC"/>
    <w:rsid w:val="00A63CA7"/>
    <w:rsid w:val="00A64BC3"/>
    <w:rsid w:val="00A66A21"/>
    <w:rsid w:val="00A67FDB"/>
    <w:rsid w:val="00A725D7"/>
    <w:rsid w:val="00A80080"/>
    <w:rsid w:val="00A8346A"/>
    <w:rsid w:val="00AB02E8"/>
    <w:rsid w:val="00AB0936"/>
    <w:rsid w:val="00AB1D8E"/>
    <w:rsid w:val="00AB7BBD"/>
    <w:rsid w:val="00AD1F05"/>
    <w:rsid w:val="00AD541E"/>
    <w:rsid w:val="00AD5CE0"/>
    <w:rsid w:val="00AD5E50"/>
    <w:rsid w:val="00AE4218"/>
    <w:rsid w:val="00AF1D4D"/>
    <w:rsid w:val="00AF405F"/>
    <w:rsid w:val="00AF5E01"/>
    <w:rsid w:val="00AF61F7"/>
    <w:rsid w:val="00B3106B"/>
    <w:rsid w:val="00B41FE9"/>
    <w:rsid w:val="00B4571F"/>
    <w:rsid w:val="00B45FFB"/>
    <w:rsid w:val="00B52894"/>
    <w:rsid w:val="00B52F4C"/>
    <w:rsid w:val="00B54DED"/>
    <w:rsid w:val="00B6345C"/>
    <w:rsid w:val="00B660A8"/>
    <w:rsid w:val="00B83E3D"/>
    <w:rsid w:val="00B91091"/>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F222FD"/>
    <w:rsid w:val="00F25E64"/>
    <w:rsid w:val="00F3008C"/>
    <w:rsid w:val="00F366B7"/>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24</Pages>
  <Words>1604</Words>
  <Characters>9148</Characters>
  <Application>Microsoft Office Word</Application>
  <DocSecurity>0</DocSecurity>
  <PresentationFormat/>
  <Lines>76</Lines>
  <Paragraphs>21</Paragraphs>
  <Slides>0</Slides>
  <Notes>0</Notes>
  <HiddenSlides>0</HiddenSlides>
  <MMClips>0</MMClips>
  <ScaleCrop>false</ScaleCrop>
  <Company>微软中国</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杨帆</cp:lastModifiedBy>
  <cp:revision>23</cp:revision>
  <cp:lastPrinted>2017-05-27T02:18:00Z</cp:lastPrinted>
  <dcterms:created xsi:type="dcterms:W3CDTF">2019-01-19T02:44:00Z</dcterms:created>
  <dcterms:modified xsi:type="dcterms:W3CDTF">2019-12-06T00:42:00Z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